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B01" w:rsidRPr="00C54ADB" w:rsidRDefault="00B72991" w:rsidP="00B72991">
      <w:pPr>
        <w:pStyle w:val="Heading1"/>
        <w:rPr>
          <w:rFonts w:eastAsia="Times New Roman"/>
        </w:rPr>
      </w:pPr>
      <w:bookmarkStart w:id="0" w:name="_GoBack"/>
      <w:bookmarkEnd w:id="0"/>
      <w:r>
        <w:t>Kagan: Dissent</w:t>
      </w:r>
    </w:p>
    <w:p w:rsidR="00B72991" w:rsidRPr="00C54ADB" w:rsidRDefault="00B72991" w:rsidP="00B72991">
      <w:r w:rsidRPr="00C54ADB">
        <w:rPr>
          <w:i/>
          <w:iCs/>
        </w:rPr>
        <w:t>Justice Kagan</w:t>
      </w:r>
      <w:r w:rsidRPr="00C54ADB">
        <w:t>, with whom Justice Ginsburg, Justice Breyer, and Justice Sotomayor join, dissenting.</w:t>
      </w:r>
    </w:p>
    <w:p w:rsidR="00B72991" w:rsidRPr="00C54ADB" w:rsidRDefault="00B72991" w:rsidP="00B72991">
      <w:r w:rsidRPr="00C54ADB">
        <w:t>Since its inception, the Arizona private-school-tuition tax credit has cost the State, by its own estimate, nearly $350 million in diverted tax revenue. The Arizona taxpayers who instituted this suit (collectively, Plaintiffs) allege that the use of these funds to subsidize school tuition organizations (STOs) breaches the Establishment Clause’s promise of religious neutrality. Many of these STOs, the Plaintiffs claim, discriminate on the basis of a child’s religion when awarding scholarships.</w:t>
      </w:r>
    </w:p>
    <w:p w:rsidR="00B72991" w:rsidRPr="00C54ADB" w:rsidRDefault="00B72991" w:rsidP="00B72991">
      <w:r w:rsidRPr="00C54ADB">
        <w:lastRenderedPageBreak/>
        <w:t>For almost half a century, litigants like the Plaintiffs have obtained judicial review of claims that the government has used its taxing and spending power in violation of the Establishment Clause. Beginning in </w:t>
      </w:r>
      <w:r w:rsidRPr="00C54ADB">
        <w:rPr>
          <w:i/>
          <w:iCs/>
        </w:rPr>
        <w:t>Flast</w:t>
      </w:r>
      <w:r w:rsidRPr="00C54ADB">
        <w:t> v. </w:t>
      </w:r>
      <w:r w:rsidRPr="00C54ADB">
        <w:rPr>
          <w:i/>
          <w:iCs/>
        </w:rPr>
        <w:t>Cohen</w:t>
      </w:r>
      <w:r w:rsidRPr="00C54ADB">
        <w:t>, </w:t>
      </w:r>
      <w:r w:rsidRPr="00C54ADB">
        <w:rPr>
          <w:u w:val="single"/>
        </w:rPr>
        <w:t>392 U. S. 83</w:t>
      </w:r>
      <w:r w:rsidRPr="00C54ADB">
        <w:t> (1968), and continuing in case after case for over four decades, this Court and others have exercised jurisdiction to decide taxpayer-initiated challenges not materially different from this one. Not every suit has succeeded on the merits, or should have. But every taxpayer-plaintiff has had her day in court to contest the government’s financing of religious activity.</w:t>
      </w:r>
    </w:p>
    <w:p w:rsidR="00B72991" w:rsidRPr="00C54ADB" w:rsidRDefault="00B72991" w:rsidP="00B72991">
      <w:r w:rsidRPr="00C54ADB">
        <w:t>Today, the Court breaks from this precedent by refusing to hear taxpayers’ claims that the government has unconstitutionally subsidized religion through its tax system. These litigants lack standing, the majority holds, because the funding of religion they challenge comes from a tax credit, rather than an appropriation. A tax credit, the Court asserts, does not injure objecting taxpayers, because it “does not extract and spend [their] funds in service of an establishment.” </w:t>
      </w:r>
      <w:r w:rsidRPr="00C54ADB">
        <w:rPr>
          <w:i/>
          <w:iCs/>
        </w:rPr>
        <w:t>Ante</w:t>
      </w:r>
      <w:r w:rsidRPr="00C54ADB">
        <w:t>, at 15 (internal quotation marks and alterations omitted).</w:t>
      </w:r>
    </w:p>
    <w:p w:rsidR="00B72991" w:rsidRPr="00C54ADB" w:rsidRDefault="00B72991" w:rsidP="00B72991">
      <w:r w:rsidRPr="00C54ADB">
        <w:t>This novel distinction in standing law between appropriations and tax expenditures has as little basis in principle as it has in our precedent. Cash grants and targeted tax breaks are means of accomplishing the same government objective—to provide financial support to select individuals or organizations. Taxpayers who oppose state aid of religion have equal reason to protest whether that aid flows from the one form of subsidy or the other. Either way, the government has financed the religious activity. And so either way, taxpayers should be able to challenge the subsidy.</w:t>
      </w:r>
    </w:p>
    <w:p w:rsidR="00B72991" w:rsidRPr="00C54ADB" w:rsidRDefault="00B72991" w:rsidP="00B72991">
      <w:r w:rsidRPr="00C54ADB">
        <w:t>Still worse, the Court’s arbitrary distinction threatens to eliminate </w:t>
      </w:r>
      <w:r w:rsidRPr="00C54ADB">
        <w:rPr>
          <w:i/>
          <w:iCs/>
        </w:rPr>
        <w:t>all </w:t>
      </w:r>
      <w:r w:rsidRPr="00C54ADB">
        <w:t>occasions for a taxpayer to contest the government’s monetary support of religion. Precisely because appropriations and tax breaks can achieve identical objectives, the government can easily substitute one for the other. Today’s opinion thus enables the government to end-run </w:t>
      </w:r>
      <w:r w:rsidRPr="00C54ADB">
        <w:rPr>
          <w:i/>
          <w:iCs/>
        </w:rPr>
        <w:t>Flast</w:t>
      </w:r>
      <w:r w:rsidRPr="00C54ADB">
        <w:t>’s guarantee of access to the Judiciary. From now on, the government need follow just one simple rule—subsidize through the tax system—to preclude taxpayer challenges to state funding of religion.</w:t>
      </w:r>
    </w:p>
    <w:p w:rsidR="00B72991" w:rsidRPr="00C54ADB" w:rsidRDefault="00B72991" w:rsidP="00B72991">
      <w:r w:rsidRPr="00C54ADB">
        <w:t>And that result—the effective demise of taxpayer standing—will diminish the Establishment Clause’s force and meaning. Sometimes, no one other than taxpayers has suffered the injury necessary to challenge government sponsorship of religion. Today’s holding therefore will prevent federal courts from determining whether some subsidies to sectarian organizations comport with our Constitution’s guarantee of religious neutrality. Because I believe these challenges warrant consideration on the merits, I respectfully dissent from the Court’s decision.</w:t>
      </w:r>
    </w:p>
    <w:p w:rsidR="00B72991" w:rsidRPr="00C54ADB" w:rsidRDefault="00B72991" w:rsidP="00B72991">
      <w:pPr>
        <w:pStyle w:val="Heading2"/>
      </w:pPr>
      <w:r w:rsidRPr="00C54ADB">
        <w:t>I</w:t>
      </w:r>
    </w:p>
    <w:p w:rsidR="00B72991" w:rsidRPr="00C54ADB" w:rsidRDefault="00B72991" w:rsidP="00B72991">
      <w:r w:rsidRPr="00C54ADB">
        <w:t>As the majority recounts, this Court has held that paying taxes usually does not give an individual Article III standing to challenge government action. </w:t>
      </w:r>
      <w:r w:rsidRPr="00C54ADB">
        <w:rPr>
          <w:i/>
          <w:iCs/>
        </w:rPr>
        <w:t>Ante</w:t>
      </w:r>
      <w:r w:rsidRPr="00C54ADB">
        <w:t>, at 6–10. Taxpayers cannot demonstrate the requisite injury because each person’s “interest in the moneys of the Treasury … is comparatively minute and indeterminable.” </w:t>
      </w:r>
      <w:r w:rsidRPr="00C54ADB">
        <w:rPr>
          <w:i/>
          <w:iCs/>
        </w:rPr>
        <w:t>Frothingham </w:t>
      </w:r>
      <w:r w:rsidRPr="00C54ADB">
        <w:t>v. </w:t>
      </w:r>
      <w:r w:rsidRPr="00C54ADB">
        <w:rPr>
          <w:i/>
          <w:iCs/>
        </w:rPr>
        <w:t>Mellon</w:t>
      </w:r>
      <w:r w:rsidRPr="00C54ADB">
        <w:t>, </w:t>
      </w:r>
      <w:r w:rsidRPr="00C54ADB">
        <w:rPr>
          <w:u w:val="single"/>
        </w:rPr>
        <w:t>262 U. S. 447</w:t>
      </w:r>
      <w:r w:rsidRPr="00C54ADB">
        <w:t>, 487 (1923) (decided with </w:t>
      </w:r>
      <w:r w:rsidRPr="00C54ADB">
        <w:rPr>
          <w:i/>
          <w:iCs/>
        </w:rPr>
        <w:t>Massachusetts</w:t>
      </w:r>
      <w:r w:rsidRPr="00C54ADB">
        <w:t> v. </w:t>
      </w:r>
      <w:r w:rsidRPr="00C54ADB">
        <w:rPr>
          <w:i/>
          <w:iCs/>
        </w:rPr>
        <w:t>Mellon</w:t>
      </w:r>
      <w:r w:rsidRPr="00C54ADB">
        <w:t>). Given the size and complexity of government budgets, it is a “fiction” to contend that an unlawful expenditure causes an individual “any measurable economic harm.” </w:t>
      </w:r>
      <w:r w:rsidRPr="00C54ADB">
        <w:rPr>
          <w:i/>
          <w:iCs/>
        </w:rPr>
        <w:t>Hein</w:t>
      </w:r>
      <w:r w:rsidRPr="00C54ADB">
        <w:t> v. </w:t>
      </w:r>
      <w:r w:rsidRPr="00C54ADB">
        <w:rPr>
          <w:i/>
          <w:iCs/>
        </w:rPr>
        <w:t>Freedom From Religion Foundation, Inc.</w:t>
      </w:r>
      <w:r w:rsidRPr="00C54ADB">
        <w:t>, </w:t>
      </w:r>
      <w:r w:rsidRPr="00C54ADB">
        <w:rPr>
          <w:u w:val="single"/>
        </w:rPr>
        <w:t>551 U. S. 587</w:t>
      </w:r>
      <w:r w:rsidRPr="00C54ADB">
        <w:t>, 593 (2007) (plurality opinion). Nor can taxpayers in the ordinary case establish causation (</w:t>
      </w:r>
      <w:r w:rsidRPr="00C54ADB">
        <w:rPr>
          <w:i/>
          <w:iCs/>
        </w:rPr>
        <w:t>i.e.,</w:t>
      </w:r>
      <w:r w:rsidRPr="00C54ADB">
        <w:t xml:space="preserve"> that the </w:t>
      </w:r>
      <w:r w:rsidRPr="00C54ADB">
        <w:lastRenderedPageBreak/>
        <w:t>disputed government measure affects their tax burden) or redressability (</w:t>
      </w:r>
      <w:r w:rsidRPr="00C54ADB">
        <w:rPr>
          <w:i/>
          <w:iCs/>
        </w:rPr>
        <w:t>i.e., </w:t>
      </w:r>
      <w:r w:rsidRPr="00C54ADB">
        <w:t>that a judicial remedy would result in tax reductions). </w:t>
      </w:r>
      <w:r w:rsidRPr="00C54ADB">
        <w:rPr>
          <w:i/>
          <w:iCs/>
        </w:rPr>
        <w:t>Ante</w:t>
      </w:r>
      <w:r w:rsidRPr="00C54ADB">
        <w:t>, at 8–9. On these points, all agree.</w:t>
      </w:r>
    </w:p>
    <w:p w:rsidR="00B72991" w:rsidRPr="00C54ADB" w:rsidRDefault="00B72991" w:rsidP="00B72991">
      <w:r w:rsidRPr="00C54ADB">
        <w:t>The disagreement concerns their relevance here. This case is not about the general prohibition on taxpayer standing, and cannot be resolved on that basis. This case is instead about the exception to the rule—the principle established decades ago in </w:t>
      </w:r>
      <w:r w:rsidRPr="00C54ADB">
        <w:rPr>
          <w:i/>
          <w:iCs/>
        </w:rPr>
        <w:t>Flast </w:t>
      </w:r>
      <w:r w:rsidRPr="00C54ADB">
        <w:t>that taxpayers </w:t>
      </w:r>
      <w:r w:rsidRPr="00C54ADB">
        <w:rPr>
          <w:i/>
          <w:iCs/>
        </w:rPr>
        <w:t>may</w:t>
      </w:r>
      <w:r w:rsidRPr="00C54ADB">
        <w:t> challenge certain government actions alleged to violate the Establishment Clause. The Plaintiffs have standing if their suit meets </w:t>
      </w:r>
      <w:r w:rsidRPr="00C54ADB">
        <w:rPr>
          <w:i/>
          <w:iCs/>
        </w:rPr>
        <w:t>Flast</w:t>
      </w:r>
      <w:r w:rsidRPr="00C54ADB">
        <w:t>’s requirements—and it does so under any fair reading of that decision.</w:t>
      </w:r>
    </w:p>
    <w:p w:rsidR="00B72991" w:rsidRPr="00C54ADB" w:rsidRDefault="00B72991" w:rsidP="00B72991">
      <w:r w:rsidRPr="00C54ADB">
        <w:t>Taxpayers have standing, </w:t>
      </w:r>
      <w:r w:rsidRPr="00C54ADB">
        <w:rPr>
          <w:i/>
          <w:iCs/>
        </w:rPr>
        <w:t>Flast</w:t>
      </w:r>
      <w:r w:rsidRPr="00C54ADB">
        <w:t> held, when they allege that a statute enacted pursuant to the legislature’s taxing and spending power violates the Establishment Clause. 392 U. S., at 105–106. In this situation, the Court explained, a plaintiff can establish a two-part nexus “between the [taxpayer] status asserted and the claim sought to be adjudicated.” </w:t>
      </w:r>
      <w:r w:rsidRPr="00C54ADB">
        <w:rPr>
          <w:i/>
          <w:iCs/>
        </w:rPr>
        <w:t>Id., </w:t>
      </w:r>
      <w:r w:rsidRPr="00C54ADB">
        <w:t>at 102. First, by challenging legislative action taken under the taxing and spending clause, the taxpayer shows “a logical link between [her] status and the type of … enactment attacked.”</w:t>
      </w:r>
      <w:r w:rsidRPr="00C54ADB">
        <w:rPr>
          <w:i/>
          <w:iCs/>
        </w:rPr>
        <w:t>Ibid.</w:t>
      </w:r>
      <w:r w:rsidRPr="00C54ADB">
        <w:t> Second, by invoking the Establishment Clause—a specific limitation on the legislature’s taxing and spending power—the taxpayer demonstrates “a nexus between [her] status and the precise nature of the constitutional infringement alleged.” </w:t>
      </w:r>
      <w:r w:rsidRPr="00C54ADB">
        <w:rPr>
          <w:i/>
          <w:iCs/>
        </w:rPr>
        <w:t>Ibid.</w:t>
      </w:r>
      <w:r w:rsidRPr="00C54ADB">
        <w:t> Because of these connections, </w:t>
      </w:r>
      <w:r w:rsidRPr="00C54ADB">
        <w:rPr>
          <w:i/>
          <w:iCs/>
        </w:rPr>
        <w:t>Flast </w:t>
      </w:r>
      <w:r w:rsidRPr="00C54ADB">
        <w:t>held, taxpayers alleging that the government is using tax proceeds to aid religion have “the necessary stake … in the outcome of the litigation to satisfy Article III.”</w:t>
      </w:r>
      <w:r w:rsidRPr="00C54ADB">
        <w:rPr>
          <w:i/>
          <w:iCs/>
        </w:rPr>
        <w:t>Ibid. </w:t>
      </w:r>
      <w:r w:rsidRPr="00C54ADB">
        <w:t>They are “proper and appropriate part[ies]”—indeed, often the only possible parties—to seek judicial enforcement of the Constitution’s guarantee of religious neutrality. </w:t>
      </w:r>
      <w:r w:rsidRPr="00C54ADB">
        <w:rPr>
          <w:i/>
          <w:iCs/>
        </w:rPr>
        <w:t>Ibid</w:t>
      </w:r>
      <w:r w:rsidRPr="00C54ADB">
        <w:t>.</w:t>
      </w:r>
    </w:p>
    <w:p w:rsidR="00B72991" w:rsidRPr="00C54ADB" w:rsidRDefault="00B72991" w:rsidP="00B72991">
      <w:r w:rsidRPr="00C54ADB">
        <w:t>That simple restatement of the </w:t>
      </w:r>
      <w:r w:rsidRPr="00C54ADB">
        <w:rPr>
          <w:i/>
          <w:iCs/>
        </w:rPr>
        <w:t>Flast </w:t>
      </w:r>
      <w:r w:rsidRPr="00C54ADB">
        <w:t>standard should be enough to establish that the Plaintiffs have standing. They attack a provision of the Arizona tax code that the legislature enacted pursuant to the State Constitution’s taxing and spending clause (</w:t>
      </w:r>
      <w:r w:rsidRPr="00C54ADB">
        <w:rPr>
          <w:i/>
          <w:iCs/>
        </w:rPr>
        <w:t>Flast </w:t>
      </w:r>
      <w:r w:rsidRPr="00C54ADB">
        <w:t>nexus, part 1). And they allege that this provision violates the Establishment Clause (</w:t>
      </w:r>
      <w:r w:rsidRPr="00C54ADB">
        <w:rPr>
          <w:i/>
          <w:iCs/>
        </w:rPr>
        <w:t>Flast </w:t>
      </w:r>
      <w:r w:rsidRPr="00C54ADB">
        <w:t>nexus, part 2). By satisfying both of </w:t>
      </w:r>
      <w:r w:rsidRPr="00C54ADB">
        <w:rPr>
          <w:i/>
          <w:iCs/>
        </w:rPr>
        <w:t>Flast</w:t>
      </w:r>
      <w:r w:rsidRPr="00C54ADB">
        <w:t>’s conditions, the Plaintiffs have demonstrated their “stake as taxpayers” in enforcing constitutional restraints on the provision of aid to STOs. </w:t>
      </w:r>
      <w:r w:rsidRPr="00C54ADB">
        <w:rPr>
          <w:i/>
          <w:iCs/>
        </w:rPr>
        <w:t>Ibid.</w:t>
      </w:r>
      <w:r w:rsidRPr="00C54ADB">
        <w:t>Indeed, the connection in this case between “the [taxpayer] status asserted and the claim sought to be adjudicated,” </w:t>
      </w:r>
      <w:r w:rsidRPr="00C54ADB">
        <w:rPr>
          <w:i/>
          <w:iCs/>
        </w:rPr>
        <w:t>ibid.,</w:t>
      </w:r>
      <w:r w:rsidRPr="00C54ADB">
        <w:t> could not be any tighter: As noted when this Court previously addressed a different issue in this lawsuit, the Plaintiffs invoke the Establishment Clause to challenge “an integral part of the State’s </w:t>
      </w:r>
      <w:r w:rsidRPr="00C54ADB">
        <w:rPr>
          <w:i/>
          <w:iCs/>
        </w:rPr>
        <w:t>tax</w:t>
      </w:r>
      <w:r w:rsidRPr="00C54ADB">
        <w:t> statute” that “is reflected on state </w:t>
      </w:r>
      <w:r w:rsidRPr="00C54ADB">
        <w:rPr>
          <w:i/>
          <w:iCs/>
        </w:rPr>
        <w:t>tax</w:t>
      </w:r>
      <w:r w:rsidRPr="00C54ADB">
        <w:t>forms” and that “is part of the calculus necessary to determine </w:t>
      </w:r>
      <w:r w:rsidRPr="00C54ADB">
        <w:rPr>
          <w:i/>
          <w:iCs/>
        </w:rPr>
        <w:t>tax</w:t>
      </w:r>
      <w:r w:rsidRPr="00C54ADB">
        <w:t> liability.” </w:t>
      </w:r>
      <w:r w:rsidRPr="00C54ADB">
        <w:rPr>
          <w:i/>
          <w:iCs/>
        </w:rPr>
        <w:t>Hibbs</w:t>
      </w:r>
      <w:r w:rsidRPr="00C54ADB">
        <w:t> v. </w:t>
      </w:r>
      <w:r w:rsidRPr="00C54ADB">
        <w:rPr>
          <w:i/>
          <w:iCs/>
        </w:rPr>
        <w:t>Winn</w:t>
      </w:r>
      <w:r w:rsidRPr="00C54ADB">
        <w:t>, </w:t>
      </w:r>
      <w:r w:rsidRPr="00C54ADB">
        <w:rPr>
          <w:u w:val="single"/>
        </w:rPr>
        <w:t>542 U. S. 88</w:t>
      </w:r>
      <w:r w:rsidRPr="00C54ADB">
        <w:t>, 119 (2004) </w:t>
      </w:r>
      <w:r w:rsidRPr="00C54ADB">
        <w:rPr>
          <w:i/>
          <w:iCs/>
        </w:rPr>
        <w:t>(Winn I)</w:t>
      </w:r>
      <w:r w:rsidRPr="00C54ADB">
        <w:t> (Kennedy, J., dissenting) (emphasis added). Finding standing here is merely a matter of applying </w:t>
      </w:r>
      <w:r w:rsidRPr="00C54ADB">
        <w:rPr>
          <w:i/>
          <w:iCs/>
        </w:rPr>
        <w:t>Flast</w:t>
      </w:r>
      <w:r w:rsidRPr="00C54ADB">
        <w:t>. I would therefore affirm the Court of Appeals’ determination (not questioned even by the eight judges who called for rehearing en banc on the merits) that the Plaintiffs can pursue their claim in federal court.</w:t>
      </w:r>
    </w:p>
    <w:p w:rsidR="00B72991" w:rsidRPr="00C54ADB" w:rsidRDefault="00B72991" w:rsidP="00B72991">
      <w:pPr>
        <w:pStyle w:val="Heading2"/>
      </w:pPr>
      <w:r w:rsidRPr="00C54ADB">
        <w:t>II</w:t>
      </w:r>
    </w:p>
    <w:p w:rsidR="00B72991" w:rsidRPr="00C54ADB" w:rsidRDefault="00B72991" w:rsidP="00B72991">
      <w:r w:rsidRPr="00C54ADB">
        <w:t xml:space="preserve">The majority reaches a contrary decision by distinguishing between two methods of financing religion: A taxpayer has standing to challenge state subsidies to religion, the Court announces, when the mechanism used is an appropriation, but not when the mechanism is a targeted tax </w:t>
      </w:r>
      <w:r w:rsidRPr="00C54ADB">
        <w:lastRenderedPageBreak/>
        <w:t>break, otherwise called a “tax expenditure.”</w:t>
      </w:r>
      <w:r w:rsidR="00720FFA" w:rsidRPr="00720FFA">
        <w:rPr>
          <w:rStyle w:val="FootnoteReference"/>
        </w:rPr>
        <w:t xml:space="preserve"> </w:t>
      </w:r>
      <w:r w:rsidR="00720FFA">
        <w:rPr>
          <w:rStyle w:val="FootnoteReference"/>
        </w:rPr>
        <w:footnoteReference w:id="1"/>
      </w:r>
      <w:r w:rsidRPr="00C54ADB">
        <w:t xml:space="preserve"> In the former case, but not in the latter, the Court declares, the taxpayer suffers cognizable injury.</w:t>
      </w:r>
      <w:r w:rsidRPr="00C54ADB">
        <w:rPr>
          <w:i/>
          <w:iCs/>
        </w:rPr>
        <w:t>Ante</w:t>
      </w:r>
      <w:r w:rsidRPr="00C54ADB">
        <w:t>,</w:t>
      </w:r>
      <w:r w:rsidRPr="00C54ADB">
        <w:rPr>
          <w:i/>
          <w:iCs/>
        </w:rPr>
        <w:t> </w:t>
      </w:r>
      <w:r w:rsidRPr="00C54ADB">
        <w:t>at 14–15.</w:t>
      </w:r>
    </w:p>
    <w:p w:rsidR="00B72991" w:rsidRPr="00C54ADB" w:rsidRDefault="00B72991" w:rsidP="00B72991">
      <w:r w:rsidRPr="00C54ADB">
        <w:t>But this distinction finds no support in case law, and just as little in reason. In the decades since </w:t>
      </w:r>
      <w:r w:rsidRPr="00C54ADB">
        <w:rPr>
          <w:i/>
          <w:iCs/>
        </w:rPr>
        <w:t>Flast</w:t>
      </w:r>
      <w:r w:rsidRPr="00C54ADB">
        <w:t>, no court—not one—has differentiated between appropriations and tax expenditures in deciding whether litigants have standing. Over and over again, courts (including this one) have faced Establishment Clause challenges to tax credits, deductions, and exemptions; over and over again, these courts have reached the merits of these claims. And that is for a simple reason: Taxpayers experience the same injury for standing purposes whether government subsidization of religion takes the form of a cash grant or a tax measure. The only rationale the majority offers for its newfound distinction—that grants, but not tax expenditures, somehow come from a complaining taxpayer’s own wallet—cannot bear the weight the Court places on it. If </w:t>
      </w:r>
      <w:r w:rsidRPr="00C54ADB">
        <w:rPr>
          <w:i/>
          <w:iCs/>
        </w:rPr>
        <w:t>Flast </w:t>
      </w:r>
      <w:r w:rsidRPr="00C54ADB">
        <w:t>is still good law—and the majority today says nothing to the contrary—then the Plaintiffs should be able to pursue their claim on the merits.</w:t>
      </w:r>
    </w:p>
    <w:p w:rsidR="00B72991" w:rsidRPr="00C54ADB" w:rsidRDefault="00B72991" w:rsidP="00B72991">
      <w:pPr>
        <w:pStyle w:val="Heading3"/>
      </w:pPr>
      <w:r w:rsidRPr="00C54ADB">
        <w:t>A</w:t>
      </w:r>
    </w:p>
    <w:p w:rsidR="00B72991" w:rsidRPr="00C54ADB" w:rsidRDefault="00B72991" w:rsidP="00B72991">
      <w:r w:rsidRPr="00C54ADB">
        <w:t>Until today, this Court has never so much as hinted that litigants in the same shoes as the Plaintiffs lack standing under </w:t>
      </w:r>
      <w:r w:rsidRPr="00C54ADB">
        <w:rPr>
          <w:i/>
          <w:iCs/>
        </w:rPr>
        <w:t>Flast</w:t>
      </w:r>
      <w:r w:rsidRPr="00C54ADB">
        <w:t>. To the contrary: We have faced the identical situation five times—including in a prior incarnation of this very case!—and we have five times resolved the suit without questioning the plaintiffs’ standing. Lower federal courts have followed our example and handled the matter in the same way. I count 14 separate cases (involving 20 appellate and district courts) that adjudicated taxpayer challenges to tax expenditures alleged to violate the Establishment Clause</w:t>
      </w:r>
      <w:r w:rsidR="00996E4F">
        <w:rPr>
          <w:rStyle w:val="FootnoteReference"/>
        </w:rPr>
        <w:footnoteReference w:id="2"/>
      </w:r>
      <w:r w:rsidR="00996E4F">
        <w:t xml:space="preserve"> </w:t>
      </w:r>
      <w:r w:rsidRPr="00C54ADB">
        <w:t xml:space="preserve"> I suspect I have missed a few. I have not found any instance of a court dismissing such a claim for lack of standing.</w:t>
      </w:r>
    </w:p>
    <w:p w:rsidR="00B72991" w:rsidRPr="00C54ADB" w:rsidRDefault="00B72991" w:rsidP="00B72991">
      <w:r w:rsidRPr="00C54ADB">
        <w:t>Consider the five cases in which this Court entertained suits filed by taxpayers alleging that tax expenditures unlawfully subsidized religion. We first took up such a challenge in </w:t>
      </w:r>
      <w:r w:rsidRPr="00C54ADB">
        <w:rPr>
          <w:i/>
          <w:iCs/>
        </w:rPr>
        <w:t>Walz</w:t>
      </w:r>
      <w:r w:rsidRPr="00C54ADB">
        <w:t> v. </w:t>
      </w:r>
      <w:r w:rsidRPr="00C54ADB">
        <w:rPr>
          <w:i/>
          <w:iCs/>
        </w:rPr>
        <w:t>Tax Comm’n of City of New York</w:t>
      </w:r>
      <w:r w:rsidRPr="00C54ADB">
        <w:t>, </w:t>
      </w:r>
      <w:r w:rsidRPr="00C54ADB">
        <w:rPr>
          <w:u w:val="single"/>
        </w:rPr>
        <w:t>397 U. S. 664</w:t>
      </w:r>
      <w:r w:rsidRPr="00C54ADB">
        <w:t>, 666–667 (1970), where we upheld the constitutionality of a property tax exemption for religious organizations. Next, in </w:t>
      </w:r>
      <w:r w:rsidRPr="00C54ADB">
        <w:rPr>
          <w:i/>
          <w:iCs/>
        </w:rPr>
        <w:t>Hunt</w:t>
      </w:r>
      <w:r w:rsidRPr="00C54ADB">
        <w:t> v. </w:t>
      </w:r>
      <w:r w:rsidRPr="00C54ADB">
        <w:rPr>
          <w:i/>
          <w:iCs/>
        </w:rPr>
        <w:t>McNair</w:t>
      </w:r>
      <w:r w:rsidRPr="00C54ADB">
        <w:t>, </w:t>
      </w:r>
      <w:r w:rsidRPr="00C54ADB">
        <w:rPr>
          <w:u w:val="single"/>
        </w:rPr>
        <w:t>413 U. S. 734</w:t>
      </w:r>
      <w:r w:rsidRPr="00C54ADB">
        <w:t xml:space="preserve">, 735–736, 738–739 (1973), we decided that the Establishment </w:t>
      </w:r>
      <w:r w:rsidRPr="00C54ADB">
        <w:lastRenderedPageBreak/>
        <w:t>Clause permitted a state agency to issue tax-exempt bonds to sectarian institutions. The same day, in </w:t>
      </w:r>
      <w:r w:rsidRPr="00C54ADB">
        <w:rPr>
          <w:i/>
          <w:iCs/>
        </w:rPr>
        <w:t>Committee for Public Ed. &amp; Religious Liberty</w:t>
      </w:r>
      <w:r w:rsidRPr="00C54ADB">
        <w:t> v. </w:t>
      </w:r>
      <w:r w:rsidRPr="00C54ADB">
        <w:rPr>
          <w:i/>
          <w:iCs/>
        </w:rPr>
        <w:t>Nyquist</w:t>
      </w:r>
      <w:r w:rsidRPr="00C54ADB">
        <w:t>, </w:t>
      </w:r>
      <w:r w:rsidRPr="00C54ADB">
        <w:rPr>
          <w:u w:val="single"/>
        </w:rPr>
        <w:t>413 U. S. 756</w:t>
      </w:r>
      <w:r w:rsidRPr="00C54ADB">
        <w:t>, 789–794 (1973), we struck down a state tax deduction for parents who paid tuition at religious and other private schools. A decade later, in </w:t>
      </w:r>
      <w:r w:rsidRPr="00C54ADB">
        <w:rPr>
          <w:i/>
          <w:iCs/>
        </w:rPr>
        <w:t>Mueller</w:t>
      </w:r>
      <w:r w:rsidRPr="00C54ADB">
        <w:t> v. </w:t>
      </w:r>
      <w:r w:rsidRPr="00C54ADB">
        <w:rPr>
          <w:i/>
          <w:iCs/>
        </w:rPr>
        <w:t>Allen</w:t>
      </w:r>
      <w:r w:rsidRPr="00C54ADB">
        <w:t>, </w:t>
      </w:r>
      <w:r w:rsidRPr="00C54ADB">
        <w:rPr>
          <w:u w:val="single"/>
        </w:rPr>
        <w:t>463 U. S. 388</w:t>
      </w:r>
      <w:r w:rsidRPr="00C54ADB">
        <w:t>, 390–391 (1983), we considered, but this time rejected, a similar Establishment Clause challenge to a state tax deduction for expenses incurred in attending such schools. And most recently, we decided a preliminary issue </w:t>
      </w:r>
      <w:r w:rsidRPr="00C54ADB">
        <w:rPr>
          <w:i/>
          <w:iCs/>
        </w:rPr>
        <w:t>in this very case</w:t>
      </w:r>
      <w:r w:rsidRPr="00C54ADB">
        <w:t>, ruling that the Tax Injunction Act, 28 U. S. C. §1341, posed no barrier to the Plaintiffs’ litigation of their Establishment Clause claim. See </w:t>
      </w:r>
      <w:r w:rsidRPr="00C54ADB">
        <w:rPr>
          <w:i/>
          <w:iCs/>
        </w:rPr>
        <w:t>Winn I</w:t>
      </w:r>
      <w:r w:rsidRPr="00C54ADB">
        <w:t>, 542 U. S., at 112</w:t>
      </w:r>
      <w:r w:rsidR="00996E4F">
        <w:rPr>
          <w:rStyle w:val="FootnoteReference"/>
        </w:rPr>
        <w:footnoteReference w:id="3"/>
      </w:r>
      <w:r w:rsidR="00996E4F">
        <w:t xml:space="preserve"> </w:t>
      </w:r>
      <w:r w:rsidRPr="00C54ADB">
        <w:t xml:space="preserve"> The Court in all five of these cases divided sharply on the merits of the disputes. But in one respect, the Justices were unanimous: Not a single one thought to question the litigants’ standing.</w:t>
      </w:r>
    </w:p>
    <w:p w:rsidR="00B72991" w:rsidRPr="00C54ADB" w:rsidRDefault="00B72991" w:rsidP="00B72991">
      <w:r w:rsidRPr="00C54ADB">
        <w:t>The Solicitor General, participating here as </w:t>
      </w:r>
      <w:r w:rsidRPr="00C54ADB">
        <w:rPr>
          <w:i/>
          <w:iCs/>
        </w:rPr>
        <w:t>amicus curiae</w:t>
      </w:r>
      <w:r w:rsidRPr="00C54ADB">
        <w:t>, conceded at oral argument that under the Federal Government’s—and now the Court’s—view of taxpayer standing, each of these five cases should have been dismissed for lack of jurisdiction.</w:t>
      </w:r>
    </w:p>
    <w:p w:rsidR="00B72991" w:rsidRPr="00C54ADB" w:rsidRDefault="00B72991" w:rsidP="00B72991">
      <w:r w:rsidRPr="00C54ADB">
        <w:t>“[The Court:] So if you are right, … the Court was without authority to decide </w:t>
      </w:r>
      <w:r w:rsidRPr="00C54ADB">
        <w:rPr>
          <w:i/>
          <w:iCs/>
        </w:rPr>
        <w:t>Walz</w:t>
      </w:r>
      <w:r w:rsidRPr="00C54ADB">
        <w:t>, </w:t>
      </w:r>
      <w:r w:rsidRPr="00C54ADB">
        <w:rPr>
          <w:i/>
          <w:iCs/>
        </w:rPr>
        <w:t>Nyquist</w:t>
      </w:r>
      <w:r w:rsidRPr="00C54ADB">
        <w:t>, </w:t>
      </w:r>
      <w:r w:rsidRPr="00C54ADB">
        <w:rPr>
          <w:i/>
          <w:iCs/>
        </w:rPr>
        <w:t>Hunt</w:t>
      </w:r>
      <w:r w:rsidRPr="00C54ADB">
        <w:t>, </w:t>
      </w:r>
      <w:r w:rsidRPr="00C54ADB">
        <w:rPr>
          <w:i/>
          <w:iCs/>
        </w:rPr>
        <w:t>Mueller</w:t>
      </w:r>
      <w:r w:rsidRPr="00C54ADB">
        <w:t>, [and] </w:t>
      </w:r>
      <w:r w:rsidRPr="00C54ADB">
        <w:rPr>
          <w:i/>
          <w:iCs/>
        </w:rPr>
        <w:t>Hibbs </w:t>
      </w:r>
      <w:r w:rsidRPr="00C54ADB">
        <w:t>[v. </w:t>
      </w:r>
      <w:r w:rsidRPr="00C54ADB">
        <w:rPr>
          <w:i/>
          <w:iCs/>
        </w:rPr>
        <w:t>Winn</w:t>
      </w:r>
      <w:r w:rsidRPr="00C54ADB">
        <w:t>,] this very case, just a few years ago? … .</w:t>
      </w:r>
    </w:p>
    <w:p w:rsidR="00B72991" w:rsidRPr="00C54ADB" w:rsidRDefault="00B72991" w:rsidP="00B72991">
      <w:r w:rsidRPr="00C54ADB">
        <w:t>[Solicitor General:] Right… . [M]y answer to you is yes.</w:t>
      </w:r>
    </w:p>
    <w:p w:rsidR="00B72991" w:rsidRPr="00C54ADB" w:rsidRDefault="00B72991" w:rsidP="00B72991">
      <w:r w:rsidRPr="00C54ADB">
        <w:t>[The Court:] I just want to make sure I heard your answer to the—you said the answer is yes. In other words, you agree … those cases were wrongly decided… . [Y]ou would have said there would have been no standing in those cases.</w:t>
      </w:r>
    </w:p>
    <w:p w:rsidR="00B72991" w:rsidRPr="00C54ADB" w:rsidRDefault="00B72991" w:rsidP="00B72991">
      <w:r w:rsidRPr="00C54ADB">
        <w:t>[Solicitor General:] No taxpayer standing.” Tr. of Oral Arg. 10–12.</w:t>
      </w:r>
    </w:p>
    <w:p w:rsidR="00B72991" w:rsidRPr="00C54ADB" w:rsidRDefault="00B72991" w:rsidP="00B72991">
      <w:r w:rsidRPr="00C54ADB">
        <w:t>Nor could the Solicitor General have answered differently. Each of these suits, as described above, alleged that a state tax expenditure violated the Establishment Clause. And each relied </w:t>
      </w:r>
      <w:r w:rsidRPr="00C54ADB">
        <w:rPr>
          <w:i/>
          <w:iCs/>
        </w:rPr>
        <w:t>only </w:t>
      </w:r>
      <w:r w:rsidRPr="00C54ADB">
        <w:t>on taxpayer standing as the basis for federal-court review</w:t>
      </w:r>
      <w:r w:rsidR="00996E4F">
        <w:rPr>
          <w:rStyle w:val="FootnoteReference"/>
        </w:rPr>
        <w:footnoteReference w:id="4"/>
      </w:r>
      <w:r w:rsidR="00996E4F">
        <w:t xml:space="preserve"> </w:t>
      </w:r>
      <w:r w:rsidRPr="00C54ADB">
        <w:t xml:space="preserve"> The Court today speculates that “the plaintiffs in those cases could have advanced arguments for jurisdiction independent of </w:t>
      </w:r>
      <w:r w:rsidRPr="00C54ADB">
        <w:rPr>
          <w:i/>
          <w:iCs/>
        </w:rPr>
        <w:t>Flast</w:t>
      </w:r>
      <w:r w:rsidRPr="00C54ADB">
        <w:t>.” </w:t>
      </w:r>
      <w:r w:rsidRPr="00C54ADB">
        <w:rPr>
          <w:i/>
          <w:iCs/>
        </w:rPr>
        <w:t>Ante</w:t>
      </w:r>
      <w:r w:rsidRPr="00C54ADB">
        <w:t>, at 18. But whatever could have been, in fact not one of them did so.</w:t>
      </w:r>
    </w:p>
    <w:p w:rsidR="00B72991" w:rsidRPr="00C54ADB" w:rsidRDefault="00B72991" w:rsidP="00B72991">
      <w:r w:rsidRPr="00C54ADB">
        <w:t>And the Court itself understood the basis of standing in these five cases. This and every federal court has an independent obligation to consider standing, even when the parties do not call it into question. See, </w:t>
      </w:r>
      <w:r w:rsidRPr="00C54ADB">
        <w:rPr>
          <w:i/>
          <w:iCs/>
        </w:rPr>
        <w:t>e.g., FW/PBS, Inc.</w:t>
      </w:r>
      <w:r w:rsidRPr="00C54ADB">
        <w:t> v. </w:t>
      </w:r>
      <w:r w:rsidRPr="00C54ADB">
        <w:rPr>
          <w:i/>
          <w:iCs/>
        </w:rPr>
        <w:t>Dallas</w:t>
      </w:r>
      <w:r w:rsidRPr="00C54ADB">
        <w:t>, </w:t>
      </w:r>
      <w:r w:rsidRPr="00C54ADB">
        <w:rPr>
          <w:u w:val="single"/>
        </w:rPr>
        <w:t>493 U. S. 215</w:t>
      </w:r>
      <w:r w:rsidRPr="00C54ADB">
        <w:t>, 230–231 (1990). To do anything else would risk an unlawful exercise of judicial authority. And in these cases the Court had an additional prompt: In several of them, </w:t>
      </w:r>
      <w:r w:rsidRPr="00C54ADB">
        <w:rPr>
          <w:i/>
          <w:iCs/>
        </w:rPr>
        <w:t>amici</w:t>
      </w:r>
      <w:r w:rsidRPr="00C54ADB">
        <w:t xml:space="preserve">, including the United States, contested—or at least </w:t>
      </w:r>
      <w:r w:rsidRPr="00C54ADB">
        <w:lastRenderedPageBreak/>
        <w:t>raised as a question—the plaintiffs’ standing as taxpayers to pursue their claims</w:t>
      </w:r>
      <w:r w:rsidR="00996E4F">
        <w:rPr>
          <w:rStyle w:val="FootnoteReference"/>
        </w:rPr>
        <w:footnoteReference w:id="5"/>
      </w:r>
      <w:r w:rsidR="00996E4F">
        <w:t xml:space="preserve"> </w:t>
      </w:r>
      <w:r w:rsidRPr="00C54ADB">
        <w:t xml:space="preserve"> The Court, moreover, was well aware at the time of the issues presented by taxpayer standing. We decided three of the cases within a year of elaborating the general bar on taxpayer suits, see, </w:t>
      </w:r>
      <w:r w:rsidRPr="00C54ADB">
        <w:rPr>
          <w:i/>
          <w:iCs/>
        </w:rPr>
        <w:t>e.g., United States </w:t>
      </w:r>
      <w:r w:rsidRPr="00C54ADB">
        <w:t>v.</w:t>
      </w:r>
      <w:r w:rsidRPr="00C54ADB">
        <w:rPr>
          <w:i/>
          <w:iCs/>
        </w:rPr>
        <w:t> Richardson</w:t>
      </w:r>
      <w:r w:rsidRPr="00C54ADB">
        <w:t>, </w:t>
      </w:r>
      <w:r w:rsidRPr="00C54ADB">
        <w:rPr>
          <w:u w:val="single"/>
        </w:rPr>
        <w:t>418 U. S. 166</w:t>
      </w:r>
      <w:r w:rsidRPr="00C54ADB">
        <w:t> (1974);</w:t>
      </w:r>
      <w:r w:rsidRPr="00C54ADB">
        <w:rPr>
          <w:i/>
          <w:iCs/>
        </w:rPr>
        <w:t>Schlesinger </w:t>
      </w:r>
      <w:r w:rsidRPr="00C54ADB">
        <w:t>v.</w:t>
      </w:r>
      <w:r w:rsidRPr="00C54ADB">
        <w:rPr>
          <w:i/>
          <w:iCs/>
        </w:rPr>
        <w:t> Reservists Comm. to Stop the War</w:t>
      </w:r>
      <w:r w:rsidRPr="00C54ADB">
        <w:t>, </w:t>
      </w:r>
      <w:r w:rsidRPr="00C54ADB">
        <w:rPr>
          <w:u w:val="single"/>
        </w:rPr>
        <w:t>418 U. S. 208</w:t>
      </w:r>
      <w:r w:rsidRPr="00C54ADB">
        <w:t> (1974), and the fourth just after we held that bar applicable to a different kind of Establishment Clause claim, see </w:t>
      </w:r>
      <w:r w:rsidRPr="00C54ADB">
        <w:rPr>
          <w:i/>
          <w:iCs/>
        </w:rPr>
        <w:t>Valley Forge Christian College</w:t>
      </w:r>
      <w:r w:rsidRPr="00C54ADB">
        <w:t> v. </w:t>
      </w:r>
      <w:r w:rsidRPr="00C54ADB">
        <w:rPr>
          <w:i/>
          <w:iCs/>
        </w:rPr>
        <w:t>Americans United for Separation of Church and State, Inc.</w:t>
      </w:r>
      <w:r w:rsidRPr="00C54ADB">
        <w:t>, </w:t>
      </w:r>
      <w:r w:rsidRPr="00C54ADB">
        <w:rPr>
          <w:u w:val="single"/>
        </w:rPr>
        <w:t>454 U. S. 464</w:t>
      </w:r>
      <w:r w:rsidRPr="00C54ADB">
        <w:t> (1982). Indeed, the decisions on their face reflect the Court’s recognition of what gave the plaintiffs standing; in each, we specifically described the plaintiffs as taxpayers who challenged the use of the tax system to fund religious activities. See </w:t>
      </w:r>
      <w:r w:rsidRPr="00C54ADB">
        <w:rPr>
          <w:i/>
          <w:iCs/>
        </w:rPr>
        <w:t>Winn I</w:t>
      </w:r>
      <w:r w:rsidRPr="00C54ADB">
        <w:t>, 542 U. S., at 94; </w:t>
      </w:r>
      <w:r w:rsidRPr="00C54ADB">
        <w:rPr>
          <w:i/>
          <w:iCs/>
        </w:rPr>
        <w:t>Mueller</w:t>
      </w:r>
      <w:r w:rsidRPr="00C54ADB">
        <w:t>, 463 U. S., at 392; </w:t>
      </w:r>
      <w:r w:rsidRPr="00C54ADB">
        <w:rPr>
          <w:i/>
          <w:iCs/>
        </w:rPr>
        <w:t>Nyquist</w:t>
      </w:r>
      <w:r w:rsidRPr="00C54ADB">
        <w:t>, 413 U. S., at 759, 762; </w:t>
      </w:r>
      <w:r w:rsidRPr="00C54ADB">
        <w:rPr>
          <w:i/>
          <w:iCs/>
        </w:rPr>
        <w:t>Hunt</w:t>
      </w:r>
      <w:r w:rsidRPr="00C54ADB">
        <w:t>, 413 U. S., at 735–736; </w:t>
      </w:r>
      <w:r w:rsidRPr="00C54ADB">
        <w:rPr>
          <w:i/>
          <w:iCs/>
        </w:rPr>
        <w:t>Walz</w:t>
      </w:r>
      <w:r w:rsidRPr="00C54ADB">
        <w:t>, 397 U. S., at 666–667. In short, we considered and decided all these cases because we thought taxpayer standing existed.</w:t>
      </w:r>
    </w:p>
    <w:p w:rsidR="00B72991" w:rsidRPr="00C54ADB" w:rsidRDefault="00B72991" w:rsidP="00B72991">
      <w:r w:rsidRPr="00C54ADB">
        <w:t>The majority shrugs off these decisions because they did not discuss what was taken as obvious. </w:t>
      </w:r>
      <w:r w:rsidRPr="00C54ADB">
        <w:rPr>
          <w:i/>
          <w:iCs/>
        </w:rPr>
        <w:t>Ante</w:t>
      </w:r>
      <w:r w:rsidRPr="00C54ADB">
        <w:t>, at 17. But we have previously stressed that the Court should not “disregard the implications of an exercise of judicial authority assumed to be proper for over 40 years.” </w:t>
      </w:r>
      <w:r w:rsidRPr="00C54ADB">
        <w:rPr>
          <w:i/>
          <w:iCs/>
        </w:rPr>
        <w:t>Brown Shoe Co.</w:t>
      </w:r>
      <w:r w:rsidRPr="00C54ADB">
        <w:t> v. </w:t>
      </w:r>
      <w:r w:rsidRPr="00C54ADB">
        <w:rPr>
          <w:i/>
          <w:iCs/>
        </w:rPr>
        <w:t>United States</w:t>
      </w:r>
      <w:r w:rsidRPr="00C54ADB">
        <w:t>, </w:t>
      </w:r>
      <w:r w:rsidRPr="00C54ADB">
        <w:rPr>
          <w:u w:val="single"/>
        </w:rPr>
        <w:t>370 U. S. 294</w:t>
      </w:r>
      <w:r w:rsidRPr="00C54ADB">
        <w:t>, 307 (1962); see </w:t>
      </w:r>
      <w:r w:rsidRPr="00C54ADB">
        <w:rPr>
          <w:i/>
          <w:iCs/>
        </w:rPr>
        <w:t>Bowen</w:t>
      </w:r>
      <w:r w:rsidRPr="00C54ADB">
        <w:t> v. </w:t>
      </w:r>
      <w:r w:rsidRPr="00C54ADB">
        <w:rPr>
          <w:i/>
          <w:iCs/>
        </w:rPr>
        <w:t>Kendrick</w:t>
      </w:r>
      <w:r w:rsidRPr="00C54ADB">
        <w:t>, </w:t>
      </w:r>
      <w:r w:rsidRPr="00C54ADB">
        <w:rPr>
          <w:u w:val="single"/>
        </w:rPr>
        <w:t>487 U. S. 589</w:t>
      </w:r>
      <w:r w:rsidRPr="00C54ADB">
        <w:t>, 619 (1988) (finding standing partly because the Court, in deciding similar cases, had “not questioned the standing of taxpayer plaintiffs to raise Establishment Clause challenges”); </w:t>
      </w:r>
      <w:r w:rsidRPr="00C54ADB">
        <w:rPr>
          <w:i/>
          <w:iCs/>
        </w:rPr>
        <w:t>Bank of United States</w:t>
      </w:r>
      <w:r w:rsidRPr="00C54ADB">
        <w:t> v. </w:t>
      </w:r>
      <w:r w:rsidRPr="00C54ADB">
        <w:rPr>
          <w:i/>
          <w:iCs/>
        </w:rPr>
        <w:t>Deveaux</w:t>
      </w:r>
      <w:r w:rsidRPr="00C54ADB">
        <w:t>, 5 Cranch 61, 88 (1809) (Marshall, C. J.) (prior decisions exercising but not discussing jurisdiction “have much weight, as they show that [a jurisdictional flaw] neither occurred to the bar or the bench”). And that principle has extra force here, because we have relied on some of these decisions to support the Court’s jurisdiction in other cases. Pause on that for a moment: The very decisions the majority today so easily dismisses are featured in our prior cases as exemplars of jurisdiction. So in </w:t>
      </w:r>
      <w:r w:rsidRPr="00C54ADB">
        <w:rPr>
          <w:i/>
          <w:iCs/>
        </w:rPr>
        <w:t>School Dist. of Grand Rapids</w:t>
      </w:r>
      <w:r w:rsidRPr="00C54ADB">
        <w:t> v. </w:t>
      </w:r>
      <w:r w:rsidRPr="00C54ADB">
        <w:rPr>
          <w:i/>
          <w:iCs/>
        </w:rPr>
        <w:t>Ball</w:t>
      </w:r>
      <w:r w:rsidRPr="00C54ADB">
        <w:t>, </w:t>
      </w:r>
      <w:r w:rsidRPr="00C54ADB">
        <w:rPr>
          <w:u w:val="single"/>
        </w:rPr>
        <w:t>473 U. S. 373</w:t>
      </w:r>
      <w:r w:rsidRPr="00C54ADB">
        <w:t> (1985), we relied on </w:t>
      </w:r>
      <w:r w:rsidRPr="00C54ADB">
        <w:rPr>
          <w:i/>
          <w:iCs/>
        </w:rPr>
        <w:t>Nyquist </w:t>
      </w:r>
      <w:r w:rsidRPr="00C54ADB">
        <w:t>and </w:t>
      </w:r>
      <w:r w:rsidRPr="00C54ADB">
        <w:rPr>
          <w:i/>
          <w:iCs/>
        </w:rPr>
        <w:t>Hunt </w:t>
      </w:r>
      <w:r w:rsidRPr="00C54ADB">
        <w:t>to conclude that taxpayers had standing to challenge a program of aid to religious and other private schools. 473 U. S., at 380, n. 5, overruled in part on other grounds by </w:t>
      </w:r>
      <w:r w:rsidRPr="00C54ADB">
        <w:rPr>
          <w:i/>
          <w:iCs/>
        </w:rPr>
        <w:t>Agostini</w:t>
      </w:r>
      <w:r w:rsidRPr="00C54ADB">
        <w:t> v. </w:t>
      </w:r>
      <w:r w:rsidRPr="00C54ADB">
        <w:rPr>
          <w:i/>
          <w:iCs/>
        </w:rPr>
        <w:t>Felton</w:t>
      </w:r>
      <w:r w:rsidRPr="00C54ADB">
        <w:t>, </w:t>
      </w:r>
      <w:r w:rsidRPr="00C54ADB">
        <w:rPr>
          <w:u w:val="single"/>
        </w:rPr>
        <w:t>521 U. S. 203</w:t>
      </w:r>
      <w:r w:rsidRPr="00C54ADB">
        <w:t> (1997). And in </w:t>
      </w:r>
      <w:r w:rsidRPr="00C54ADB">
        <w:rPr>
          <w:i/>
          <w:iCs/>
        </w:rPr>
        <w:t>Winn I</w:t>
      </w:r>
      <w:r w:rsidRPr="00C54ADB">
        <w:t> (recall, an earlier iteration of this case), we rejected a different jurisdictional objection in part by relying on </w:t>
      </w:r>
      <w:r w:rsidRPr="00C54ADB">
        <w:rPr>
          <w:i/>
          <w:iCs/>
        </w:rPr>
        <w:t>Mueller</w:t>
      </w:r>
      <w:r w:rsidRPr="00C54ADB">
        <w:t> and </w:t>
      </w:r>
      <w:r w:rsidRPr="00C54ADB">
        <w:rPr>
          <w:i/>
          <w:iCs/>
        </w:rPr>
        <w:t>Nyquist</w:t>
      </w:r>
      <w:r w:rsidRPr="00C54ADB">
        <w:t>. We called those cases “adjudications of great moment discerning no [jurisdictional] barrier” and warned that they could not “be written off as reflecting nothing more than unexamined custom or unthinking habit.” 542 U. S., at 112, n. 13 (internal quotation marks and citations omitted). Until today, that is—when the majority does write off these adjudications and reaches a result against all precedent.</w:t>
      </w:r>
    </w:p>
    <w:p w:rsidR="00B72991" w:rsidRPr="00C54ADB" w:rsidRDefault="00B72991" w:rsidP="00B72991">
      <w:pPr>
        <w:pStyle w:val="Heading3"/>
        <w:rPr>
          <w:shd w:val="clear" w:color="auto" w:fill="FFFFFF"/>
        </w:rPr>
      </w:pPr>
      <w:r w:rsidRPr="00C54ADB">
        <w:rPr>
          <w:shd w:val="clear" w:color="auto" w:fill="FFFFFF"/>
        </w:rPr>
        <w:t>B</w:t>
      </w:r>
    </w:p>
    <w:p w:rsidR="00B72991" w:rsidRPr="00C54ADB" w:rsidRDefault="00B72991" w:rsidP="00B72991">
      <w:pPr>
        <w:rPr>
          <w:shd w:val="clear" w:color="auto" w:fill="FFFFFF"/>
        </w:rPr>
      </w:pPr>
      <w:r w:rsidRPr="00C54ADB">
        <w:rPr>
          <w:shd w:val="clear" w:color="auto" w:fill="FFFFFF"/>
        </w:rPr>
        <w:t>Our taxpayer standing cases have declined to distinguish between appropriations and tax expenditures for a simple reason: Here, as in many contexts, the distinction is one in search of a difference. To begin to see why, consider an example far afield from </w:t>
      </w:r>
      <w:r w:rsidRPr="00C54ADB">
        <w:rPr>
          <w:i/>
          <w:iCs/>
          <w:shd w:val="clear" w:color="auto" w:fill="FFFFFF"/>
        </w:rPr>
        <w:t>Flast </w:t>
      </w:r>
      <w:r w:rsidRPr="00C54ADB">
        <w:rPr>
          <w:shd w:val="clear" w:color="auto" w:fill="FFFFFF"/>
        </w:rPr>
        <w:t xml:space="preserve">and, indeed, from religion. Imagine that the Federal Government decides it should pay hundreds of billions of dollars to insolvent banks in the midst of a financial crisis. Suppose, too, that many millions of </w:t>
      </w:r>
      <w:r w:rsidRPr="00C54ADB">
        <w:rPr>
          <w:shd w:val="clear" w:color="auto" w:fill="FFFFFF"/>
        </w:rPr>
        <w:lastRenderedPageBreak/>
        <w:t>taxpayers oppose this bailout on the ground (whether right or wrong is immaterial) that it uses their hard-earned money to reward irresponsible business behavior. In the face of this hostility, some Members of Congress make the following proposal: Rather than give the money to banks via appropriations, the Government will allow banks to subtract the exact same amount from the tax bill they would otherwise have to pay to the U. S. Treasury. Would this proposal calm the furor? Or would most taxpayers respond by saying that a subsidy is a subsidy (or a bailout is a bailout), whether accomplished by the one means or by the other? Surely the latter; indeed, we would think the less of our countrymen if they failed to see through this cynical proposal.</w:t>
      </w:r>
    </w:p>
    <w:p w:rsidR="00B72991" w:rsidRPr="00C54ADB" w:rsidRDefault="00B72991" w:rsidP="00B72991">
      <w:pPr>
        <w:rPr>
          <w:shd w:val="clear" w:color="auto" w:fill="FFFFFF"/>
        </w:rPr>
      </w:pPr>
      <w:r w:rsidRPr="00C54ADB">
        <w:rPr>
          <w:shd w:val="clear" w:color="auto" w:fill="FFFFFF"/>
        </w:rPr>
        <w:t>And what ordinary people would appreciate, this Court’s case law also recognizes—that targeted tax breaks are often “economically and functionally indistinguishable from a direct monetary subsidy.” </w:t>
      </w:r>
      <w:r w:rsidRPr="00C54ADB">
        <w:rPr>
          <w:i/>
          <w:iCs/>
          <w:shd w:val="clear" w:color="auto" w:fill="FFFFFF"/>
        </w:rPr>
        <w:t>Rosenberger</w:t>
      </w:r>
      <w:r w:rsidRPr="00C54ADB">
        <w:rPr>
          <w:shd w:val="clear" w:color="auto" w:fill="FFFFFF"/>
        </w:rPr>
        <w:t> v. </w:t>
      </w:r>
      <w:r w:rsidRPr="00C54ADB">
        <w:rPr>
          <w:i/>
          <w:iCs/>
          <w:shd w:val="clear" w:color="auto" w:fill="FFFFFF"/>
        </w:rPr>
        <w:t>Rector and Visitors of Univ. of Va.</w:t>
      </w:r>
      <w:r w:rsidRPr="00C54ADB">
        <w:rPr>
          <w:shd w:val="clear" w:color="auto" w:fill="FFFFFF"/>
        </w:rPr>
        <w:t>, </w:t>
      </w:r>
      <w:r w:rsidRPr="00C54ADB">
        <w:rPr>
          <w:u w:val="single"/>
        </w:rPr>
        <w:t>515 U. S. 819</w:t>
      </w:r>
      <w:r w:rsidRPr="00C54ADB">
        <w:rPr>
          <w:shd w:val="clear" w:color="auto" w:fill="FFFFFF"/>
        </w:rPr>
        <w:t>, 859 (1995) (Thomas, J., concurring). Tax credits, deductions, and exemptions provided to an individual or organization have “much the same effect as a cash grant to the [recipient] of the amount of tax it would have to pay” absent the tax break. </w:t>
      </w:r>
      <w:r w:rsidRPr="00C54ADB">
        <w:rPr>
          <w:i/>
          <w:iCs/>
          <w:shd w:val="clear" w:color="auto" w:fill="FFFFFF"/>
        </w:rPr>
        <w:t>Regan</w:t>
      </w:r>
      <w:r w:rsidRPr="00C54ADB">
        <w:rPr>
          <w:shd w:val="clear" w:color="auto" w:fill="FFFFFF"/>
        </w:rPr>
        <w:t> v. </w:t>
      </w:r>
      <w:r w:rsidRPr="00C54ADB">
        <w:rPr>
          <w:i/>
          <w:iCs/>
          <w:shd w:val="clear" w:color="auto" w:fill="FFFFFF"/>
        </w:rPr>
        <w:t>Taxation With Representation of Wash.</w:t>
      </w:r>
      <w:r w:rsidRPr="00C54ADB">
        <w:rPr>
          <w:shd w:val="clear" w:color="auto" w:fill="FFFFFF"/>
        </w:rPr>
        <w:t>, </w:t>
      </w:r>
      <w:r w:rsidRPr="00C54ADB">
        <w:rPr>
          <w:u w:val="single"/>
        </w:rPr>
        <w:t>461 U. S. 540</w:t>
      </w:r>
      <w:r w:rsidRPr="00C54ADB">
        <w:rPr>
          <w:shd w:val="clear" w:color="auto" w:fill="FFFFFF"/>
        </w:rPr>
        <w:t>, 544 (1983). “Our opinions,” therefore, “have long recognized … the reality that [tax expenditures] are a form of subsidy that is administered through the tax system.” </w:t>
      </w:r>
      <w:r w:rsidRPr="00C54ADB">
        <w:rPr>
          <w:i/>
          <w:iCs/>
          <w:shd w:val="clear" w:color="auto" w:fill="FFFFFF"/>
        </w:rPr>
        <w:t>Arkansas Writers’ Project, Inc.</w:t>
      </w:r>
      <w:r w:rsidRPr="00C54ADB">
        <w:rPr>
          <w:shd w:val="clear" w:color="auto" w:fill="FFFFFF"/>
        </w:rPr>
        <w:t> v. </w:t>
      </w:r>
      <w:r w:rsidRPr="00C54ADB">
        <w:rPr>
          <w:i/>
          <w:iCs/>
          <w:shd w:val="clear" w:color="auto" w:fill="FFFFFF"/>
        </w:rPr>
        <w:t>Ragland</w:t>
      </w:r>
      <w:r w:rsidRPr="00C54ADB">
        <w:rPr>
          <w:shd w:val="clear" w:color="auto" w:fill="FFFFFF"/>
        </w:rPr>
        <w:t>, </w:t>
      </w:r>
      <w:r w:rsidRPr="00C54ADB">
        <w:rPr>
          <w:u w:val="single"/>
        </w:rPr>
        <w:t>481 U. S. 221</w:t>
      </w:r>
      <w:r w:rsidRPr="00C54ADB">
        <w:rPr>
          <w:shd w:val="clear" w:color="auto" w:fill="FFFFFF"/>
        </w:rPr>
        <w:t>, 236 (1987) (Scalia, J., dissenting) (internal quotation marks omitted). Or again: Tax breaks “can be viewed as a form of government spending,” </w:t>
      </w:r>
      <w:r w:rsidRPr="00C54ADB">
        <w:rPr>
          <w:i/>
          <w:iCs/>
          <w:shd w:val="clear" w:color="auto" w:fill="FFFFFF"/>
        </w:rPr>
        <w:t>Camps Newfound/Owatonna, Inc.</w:t>
      </w:r>
      <w:r w:rsidRPr="00C54ADB">
        <w:rPr>
          <w:shd w:val="clear" w:color="auto" w:fill="FFFFFF"/>
        </w:rPr>
        <w:t> v. </w:t>
      </w:r>
      <w:r w:rsidRPr="00C54ADB">
        <w:rPr>
          <w:i/>
          <w:iCs/>
          <w:shd w:val="clear" w:color="auto" w:fill="FFFFFF"/>
        </w:rPr>
        <w:t>Town of Harrison</w:t>
      </w:r>
      <w:r w:rsidRPr="00C54ADB">
        <w:rPr>
          <w:shd w:val="clear" w:color="auto" w:fill="FFFFFF"/>
        </w:rPr>
        <w:t>, </w:t>
      </w:r>
      <w:r w:rsidRPr="00C54ADB">
        <w:rPr>
          <w:u w:val="single"/>
        </w:rPr>
        <w:t>520 U. S. 564</w:t>
      </w:r>
      <w:r w:rsidRPr="00C54ADB">
        <w:rPr>
          <w:shd w:val="clear" w:color="auto" w:fill="FFFFFF"/>
        </w:rPr>
        <w:t>, 589–590, n. 22 (1997), even assuming the diverted tax funds do not pass through the public treasury. And once more: Both special tax benefits and cash grants “represen[t] a charge made upon the state,” </w:t>
      </w:r>
      <w:r w:rsidRPr="00C54ADB">
        <w:rPr>
          <w:i/>
          <w:iCs/>
          <w:shd w:val="clear" w:color="auto" w:fill="FFFFFF"/>
        </w:rPr>
        <w:t>Nyquist</w:t>
      </w:r>
      <w:r w:rsidRPr="00C54ADB">
        <w:rPr>
          <w:shd w:val="clear" w:color="auto" w:fill="FFFFFF"/>
        </w:rPr>
        <w:t>, 413 U. S., at 790–791 (internal quotation marks omitted); both deplete funds in the government’s coffers by transferring money to select recipients</w:t>
      </w:r>
      <w:r w:rsidR="00996E4F">
        <w:rPr>
          <w:rStyle w:val="FootnoteReference"/>
          <w:shd w:val="clear" w:color="auto" w:fill="FFFFFF"/>
        </w:rPr>
        <w:footnoteReference w:id="6"/>
      </w:r>
      <w:r w:rsidR="00996E4F">
        <w:rPr>
          <w:shd w:val="clear" w:color="auto" w:fill="FFFFFF"/>
        </w:rPr>
        <w:t xml:space="preserve"> </w:t>
      </w:r>
    </w:p>
    <w:p w:rsidR="00B72991" w:rsidRPr="00C54ADB" w:rsidRDefault="00B72991" w:rsidP="00B72991">
      <w:pPr>
        <w:rPr>
          <w:shd w:val="clear" w:color="auto" w:fill="FFFFFF"/>
        </w:rPr>
      </w:pPr>
      <w:r w:rsidRPr="00C54ADB">
        <w:rPr>
          <w:shd w:val="clear" w:color="auto" w:fill="FFFFFF"/>
        </w:rPr>
        <w:t>For just this reason, government budgeting rules routinely insist on calculation of tax subsidies, in addition to appropriations. The President must provide information on the estimated cost of tax expenditures in the budget he submits to Congress each year. See 31 U. S. C. §1105(a)(16); n. 1, </w:t>
      </w:r>
      <w:r w:rsidRPr="00C54ADB">
        <w:rPr>
          <w:i/>
          <w:iCs/>
          <w:shd w:val="clear" w:color="auto" w:fill="FFFFFF"/>
        </w:rPr>
        <w:t>supra</w:t>
      </w:r>
      <w:r w:rsidRPr="00C54ADB">
        <w:rPr>
          <w:shd w:val="clear" w:color="auto" w:fill="FFFFFF"/>
        </w:rPr>
        <w:t>. Similarly, congressional budget committees must report to all Members on the level of tax expenditures in the federal budget. See 2 U. S. C. §632(e)(2)(E). Many States—including Arizona—likewise compute the impact of targeted tax breaks on the public treasury, in recognition that these measures are just spending under a different name, see n. 1, </w:t>
      </w:r>
      <w:r w:rsidRPr="00C54ADB">
        <w:rPr>
          <w:i/>
          <w:iCs/>
          <w:shd w:val="clear" w:color="auto" w:fill="FFFFFF"/>
        </w:rPr>
        <w:t>supra</w:t>
      </w:r>
      <w:r w:rsidRPr="00C54ADB">
        <w:rPr>
          <w:shd w:val="clear" w:color="auto" w:fill="FFFFFF"/>
        </w:rPr>
        <w:t xml:space="preserve">. The Arizona Department of Revenue must issue an annual report “detailing the approximate costs in lost revenue for all state tax expenditures.” Ariz. Rev. Stat. Ann. §42–1005(A)(4) (West 2006). The most recent report notes the significance of this accounting in the budget process. It explains that “the fiscal impact of implementing” targeted tax breaks, including the STO credit challenged here, is “similar to a direct expenditure of state funds.” Arizona Dept. of Revenue, Revenue Impact of Arizona’s Tax Expenditures FY 2009/10, p. 1 (preliminary Nov. 15, 2010); see also Surrey, Tax Incentives as a Device for Implementing Government Policy: A Comparison with Direct Government Expenditures, 83 Harv. L. Rev. 705, 717 (1970) (“A dollar is a dollar—both </w:t>
      </w:r>
      <w:r w:rsidRPr="00C54ADB">
        <w:rPr>
          <w:shd w:val="clear" w:color="auto" w:fill="FFFFFF"/>
        </w:rPr>
        <w:lastRenderedPageBreak/>
        <w:t>for the person who receives it and the government that pays it, whether the dollar comes with a tax credit label or a direct expenditure label”).</w:t>
      </w:r>
    </w:p>
    <w:p w:rsidR="00B72991" w:rsidRPr="00C54ADB" w:rsidRDefault="00B72991" w:rsidP="00B72991">
      <w:pPr>
        <w:rPr>
          <w:shd w:val="clear" w:color="auto" w:fill="FFFFFF"/>
        </w:rPr>
      </w:pPr>
      <w:r w:rsidRPr="00C54ADB">
        <w:rPr>
          <w:shd w:val="clear" w:color="auto" w:fill="FFFFFF"/>
        </w:rPr>
        <w:t>And because these financing mechanisms result in the same bottom line, taxpayers challenging them can allege the same harm. Our prior cases have often recognized the cost that targeted tax breaks impose on taxpayers generally. “When the Government grants exemptions or allows deductions” to some, we have observed, “all taxpayers are affected; the very fact of the exemption or deduction … means that other taxpayers can be said to be indirect and vicarious ‘donors.’ ” </w:t>
      </w:r>
      <w:r w:rsidRPr="00C54ADB">
        <w:rPr>
          <w:i/>
          <w:iCs/>
          <w:shd w:val="clear" w:color="auto" w:fill="FFFFFF"/>
        </w:rPr>
        <w:t>Bob Jones Univ.</w:t>
      </w:r>
      <w:r w:rsidRPr="00C54ADB">
        <w:rPr>
          <w:shd w:val="clear" w:color="auto" w:fill="FFFFFF"/>
        </w:rPr>
        <w:t> v. </w:t>
      </w:r>
      <w:r w:rsidRPr="00C54ADB">
        <w:rPr>
          <w:i/>
          <w:iCs/>
          <w:shd w:val="clear" w:color="auto" w:fill="FFFFFF"/>
        </w:rPr>
        <w:t>United States</w:t>
      </w:r>
      <w:r w:rsidRPr="00C54ADB">
        <w:rPr>
          <w:shd w:val="clear" w:color="auto" w:fill="FFFFFF"/>
        </w:rPr>
        <w:t>, </w:t>
      </w:r>
      <w:r w:rsidRPr="00C54ADB">
        <w:rPr>
          <w:u w:val="single"/>
        </w:rPr>
        <w:t>461 U. S. 574</w:t>
      </w:r>
      <w:r w:rsidRPr="00C54ADB">
        <w:rPr>
          <w:shd w:val="clear" w:color="auto" w:fill="FFFFFF"/>
        </w:rPr>
        <w:t>, 591 (1983). And again: “Every tax exemption constitutes a subsidy that affects nonqualifying taxpayers, forcing them to” bear its cost. </w:t>
      </w:r>
      <w:r w:rsidRPr="00C54ADB">
        <w:rPr>
          <w:i/>
          <w:iCs/>
          <w:shd w:val="clear" w:color="auto" w:fill="FFFFFF"/>
        </w:rPr>
        <w:t>Texas Monthly, Inc.</w:t>
      </w:r>
      <w:r w:rsidRPr="00C54ADB">
        <w:rPr>
          <w:shd w:val="clear" w:color="auto" w:fill="FFFFFF"/>
        </w:rPr>
        <w:t> v. </w:t>
      </w:r>
      <w:r w:rsidRPr="00C54ADB">
        <w:rPr>
          <w:i/>
          <w:iCs/>
          <w:shd w:val="clear" w:color="auto" w:fill="FFFFFF"/>
        </w:rPr>
        <w:t>Bullock</w:t>
      </w:r>
      <w:r w:rsidRPr="00C54ADB">
        <w:rPr>
          <w:shd w:val="clear" w:color="auto" w:fill="FFFFFF"/>
        </w:rPr>
        <w:t>, </w:t>
      </w:r>
      <w:r w:rsidRPr="00C54ADB">
        <w:rPr>
          <w:u w:val="single"/>
        </w:rPr>
        <w:t>489 U. S. 1</w:t>
      </w:r>
      <w:r w:rsidRPr="00C54ADB">
        <w:rPr>
          <w:shd w:val="clear" w:color="auto" w:fill="FFFFFF"/>
        </w:rPr>
        <w:t>, 14 (1989) (plurality opinion). Indeed, we have specifically compared the harm arising from a tax subsidy with that arising from a cash grant, and declared those injuries equivalent because both kinds of support deplete the public fisc. “In either case,” we stated, “the alleged injury is based on the asserted effect of the allegedly illegal activity on public revenues, to which the taxpayer contributes.” </w:t>
      </w:r>
      <w:r w:rsidRPr="00C54ADB">
        <w:rPr>
          <w:i/>
          <w:iCs/>
          <w:shd w:val="clear" w:color="auto" w:fill="FFFFFF"/>
        </w:rPr>
        <w:t>DaimlerChrysler Corp.</w:t>
      </w:r>
      <w:r w:rsidRPr="00C54ADB">
        <w:rPr>
          <w:shd w:val="clear" w:color="auto" w:fill="FFFFFF"/>
        </w:rPr>
        <w:t> v. </w:t>
      </w:r>
      <w:r w:rsidRPr="00C54ADB">
        <w:rPr>
          <w:i/>
          <w:iCs/>
          <w:shd w:val="clear" w:color="auto" w:fill="FFFFFF"/>
        </w:rPr>
        <w:t>Cuno</w:t>
      </w:r>
      <w:r w:rsidRPr="00C54ADB">
        <w:rPr>
          <w:shd w:val="clear" w:color="auto" w:fill="FFFFFF"/>
        </w:rPr>
        <w:t>, </w:t>
      </w:r>
      <w:r w:rsidRPr="00C54ADB">
        <w:rPr>
          <w:u w:val="single"/>
        </w:rPr>
        <w:t>547 U. S. 332</w:t>
      </w:r>
      <w:r w:rsidRPr="00C54ADB">
        <w:rPr>
          <w:shd w:val="clear" w:color="auto" w:fill="FFFFFF"/>
        </w:rPr>
        <w:t>, 344 (2006). This taxpayer injury of course fails to establish standing in the mine-run case, whatever form the state aid takes. See, </w:t>
      </w:r>
      <w:r w:rsidRPr="00C54ADB">
        <w:rPr>
          <w:i/>
          <w:iCs/>
          <w:shd w:val="clear" w:color="auto" w:fill="FFFFFF"/>
        </w:rPr>
        <w:t>e.g., id., </w:t>
      </w:r>
      <w:r w:rsidRPr="00C54ADB">
        <w:rPr>
          <w:shd w:val="clear" w:color="auto" w:fill="FFFFFF"/>
        </w:rPr>
        <w:t>at 343–344; </w:t>
      </w:r>
      <w:r w:rsidRPr="00C54ADB">
        <w:rPr>
          <w:i/>
          <w:iCs/>
          <w:shd w:val="clear" w:color="auto" w:fill="FFFFFF"/>
        </w:rPr>
        <w:t>ante</w:t>
      </w:r>
      <w:r w:rsidRPr="00C54ADB">
        <w:rPr>
          <w:shd w:val="clear" w:color="auto" w:fill="FFFFFF"/>
        </w:rPr>
        <w:t>, at 6–10; </w:t>
      </w:r>
      <w:r w:rsidRPr="00C54ADB">
        <w:rPr>
          <w:i/>
          <w:iCs/>
          <w:shd w:val="clear" w:color="auto" w:fill="FFFFFF"/>
        </w:rPr>
        <w:t>supra, </w:t>
      </w:r>
      <w:r w:rsidRPr="00C54ADB">
        <w:rPr>
          <w:shd w:val="clear" w:color="auto" w:fill="FFFFFF"/>
        </w:rPr>
        <w:t>at 3. But the key is this: Whenever taxpayers have standing under </w:t>
      </w:r>
      <w:r w:rsidRPr="00C54ADB">
        <w:rPr>
          <w:i/>
          <w:iCs/>
          <w:shd w:val="clear" w:color="auto" w:fill="FFFFFF"/>
        </w:rPr>
        <w:t>Flast </w:t>
      </w:r>
      <w:r w:rsidRPr="00C54ADB">
        <w:rPr>
          <w:shd w:val="clear" w:color="auto" w:fill="FFFFFF"/>
        </w:rPr>
        <w:t>to challenge an appropriation, they should also have standing to contest a tax expenditure. Their access to the federal courts should not depend on which type of financial subsidy the State has offered.</w:t>
      </w:r>
    </w:p>
    <w:p w:rsidR="00B72991" w:rsidRPr="00C54ADB" w:rsidRDefault="00B72991" w:rsidP="00B72991">
      <w:pPr>
        <w:rPr>
          <w:shd w:val="clear" w:color="auto" w:fill="FFFFFF"/>
        </w:rPr>
      </w:pPr>
      <w:r w:rsidRPr="00C54ADB">
        <w:rPr>
          <w:shd w:val="clear" w:color="auto" w:fill="FFFFFF"/>
        </w:rPr>
        <w:t>Consider some further examples of the point, but this time concerning state funding of religion. Suppose a State desires to reward Jews—by, say, $500 per year—for their religious devotion. Should the nature of taxpayers’ concern vary if the State allows Jews to claim the aid on their tax returns, in lieu of receiving an annual stipend? Or assume a State wishes to subsidize the ownership of crucifixes. It could purchase the religious symbols in bulk and distribute them to all takers. Or it could mail a reimbursement check to any individual who buys her own and submits a receipt for the purchase. Or it could authorize that person to claim a tax credit equal to the price she paid. Now, really—do taxpayers have less reason to complain if the State selects the last of these three options? The Court today says they do, but that is wrong. The effect of each form of subsidy is the same, on the public fisc and on those who contribute to it. Regardless of which mechanism the State uses, taxpayers have an identical stake in ensuring that the State’s exercise of its taxing and spending power complies with the Constitution</w:t>
      </w:r>
      <w:r w:rsidR="00996E4F">
        <w:rPr>
          <w:rStyle w:val="FootnoteReference"/>
          <w:shd w:val="clear" w:color="auto" w:fill="FFFFFF"/>
        </w:rPr>
        <w:footnoteReference w:id="7"/>
      </w:r>
      <w:r w:rsidR="00996E4F">
        <w:rPr>
          <w:shd w:val="clear" w:color="auto" w:fill="FFFFFF"/>
        </w:rPr>
        <w:t xml:space="preserve"> </w:t>
      </w:r>
    </w:p>
    <w:p w:rsidR="00B72991" w:rsidRPr="00C54ADB" w:rsidRDefault="00B72991" w:rsidP="00B72991">
      <w:pPr>
        <w:rPr>
          <w:shd w:val="clear" w:color="auto" w:fill="FFFFFF"/>
        </w:rPr>
      </w:pPr>
      <w:r w:rsidRPr="00C54ADB">
        <w:rPr>
          <w:shd w:val="clear" w:color="auto" w:fill="FFFFFF"/>
        </w:rPr>
        <w:t>Here, the mechanism Arizona has selected is a dollar-for-dollar tax credit to aid school tuition organizations. Each year come April 15, the State tells Arizonans: Either pay the full amount of your tax liability to the State, or subtract up to $500 from your tax bill by contributing that sum to an STO. See </w:t>
      </w:r>
      <w:r w:rsidRPr="00C54ADB">
        <w:rPr>
          <w:i/>
          <w:iCs/>
          <w:shd w:val="clear" w:color="auto" w:fill="FFFFFF"/>
        </w:rPr>
        <w:t>Winn I</w:t>
      </w:r>
      <w:r w:rsidRPr="00C54ADB">
        <w:rPr>
          <w:shd w:val="clear" w:color="auto" w:fill="FFFFFF"/>
        </w:rPr>
        <w:t>, 542 U. S., at 95. To claim the credit, an individual makes a notation on her tax return and splits her tax payment into two checks, one made out to the State and the other to the STO. As this Court recognized in </w:t>
      </w:r>
      <w:r w:rsidRPr="00C54ADB">
        <w:rPr>
          <w:i/>
          <w:iCs/>
          <w:shd w:val="clear" w:color="auto" w:fill="FFFFFF"/>
        </w:rPr>
        <w:t>Winn I</w:t>
      </w:r>
      <w:r w:rsidRPr="00C54ADB">
        <w:rPr>
          <w:shd w:val="clear" w:color="auto" w:fill="FFFFFF"/>
        </w:rPr>
        <w:t>, the STO payment is therefore “costless” to the individual, </w:t>
      </w:r>
      <w:r w:rsidRPr="00C54ADB">
        <w:rPr>
          <w:i/>
          <w:iCs/>
          <w:shd w:val="clear" w:color="auto" w:fill="FFFFFF"/>
        </w:rPr>
        <w:t>ibid.;</w:t>
      </w:r>
      <w:r w:rsidRPr="00C54ADB">
        <w:rPr>
          <w:shd w:val="clear" w:color="auto" w:fill="FFFFFF"/>
        </w:rPr>
        <w:t xml:space="preserve"> it comes out of what she otherwise would be legally obligated to pay the </w:t>
      </w:r>
      <w:r w:rsidRPr="00C54ADB">
        <w:rPr>
          <w:shd w:val="clear" w:color="auto" w:fill="FFFFFF"/>
        </w:rPr>
        <w:lastRenderedPageBreak/>
        <w:t>State—hence, out of public resources. And STOs capitalize on this aspect of the tax credit for all it is worth—which is quite a lot. To drum up support, STOs highlight that “donations” are made not with an individual’s own, but with other people’s—</w:t>
      </w:r>
      <w:r w:rsidRPr="00C54ADB">
        <w:rPr>
          <w:i/>
          <w:iCs/>
          <w:shd w:val="clear" w:color="auto" w:fill="FFFFFF"/>
        </w:rPr>
        <w:t>i.e.</w:t>
      </w:r>
      <w:r w:rsidRPr="00C54ADB">
        <w:rPr>
          <w:shd w:val="clear" w:color="auto" w:fill="FFFFFF"/>
        </w:rPr>
        <w:t>, taxpayers’—money. One STO advertises that “[w]ith Arizona’s scholarship tax credit, you can send children to our community’s [religious] day schools and it won’t cost you a dime!” Brief for Respondents 13 (internal quotation marks and emphasis omitted). Another urges potential donors to “imagine giving [to charity] with someone else’s money… . Stop Imagining, thanks to Arizona tax laws you can!” </w:t>
      </w:r>
      <w:r w:rsidRPr="00C54ADB">
        <w:rPr>
          <w:i/>
          <w:iCs/>
          <w:shd w:val="clear" w:color="auto" w:fill="FFFFFF"/>
        </w:rPr>
        <w:t>Id.,</w:t>
      </w:r>
      <w:r w:rsidRPr="00C54ADB">
        <w:rPr>
          <w:shd w:val="clear" w:color="auto" w:fill="FFFFFF"/>
        </w:rPr>
        <w:t> at 14 (internal quotation marks and emphasis omitted). And so Arizonans do just that: It is, after all, good fun to spend other people’s money. By the State’s reckoning, from 1998 to 2008 the credit cost Arizona almost $350 million in redirected tax revenue</w:t>
      </w:r>
      <w:r w:rsidR="00996E4F">
        <w:rPr>
          <w:rStyle w:val="FootnoteReference"/>
          <w:shd w:val="clear" w:color="auto" w:fill="FFFFFF"/>
        </w:rPr>
        <w:footnoteReference w:id="8"/>
      </w:r>
      <w:r w:rsidR="00996E4F">
        <w:rPr>
          <w:shd w:val="clear" w:color="auto" w:fill="FFFFFF"/>
        </w:rPr>
        <w:t xml:space="preserve"> </w:t>
      </w:r>
    </w:p>
    <w:p w:rsidR="00B72991" w:rsidRPr="00C54ADB" w:rsidRDefault="00B72991" w:rsidP="00B72991">
      <w:pPr>
        <w:rPr>
          <w:shd w:val="clear" w:color="auto" w:fill="FFFFFF"/>
        </w:rPr>
      </w:pPr>
      <w:r w:rsidRPr="00C54ADB">
        <w:rPr>
          <w:shd w:val="clear" w:color="auto" w:fill="FFFFFF"/>
        </w:rPr>
        <w:t>The Plaintiffs contend that this expenditure violates the Establishment Clause. If the legislature had appropriated these monies for STOs, the Plaintiffs would have standing, beyond any dispute, to argue the merits of their claim in federal court. But the Plaintiffs have no such recourse, the Court today holds, because Arizona funds STOs through a tax credit rather than a cash grant. No less than in the hypothetical examples offered above, here too form prevails over substance, and differences that make no difference determine access to the Judiciary. And the casualty is a historic and vital method of enforcing the Constitution’s guarantee of religious neutrality.</w:t>
      </w:r>
    </w:p>
    <w:p w:rsidR="00B72991" w:rsidRPr="00C54ADB" w:rsidRDefault="00B72991" w:rsidP="00B72991">
      <w:pPr>
        <w:pStyle w:val="Heading3"/>
        <w:rPr>
          <w:shd w:val="clear" w:color="auto" w:fill="FFFFFF"/>
        </w:rPr>
      </w:pPr>
      <w:r w:rsidRPr="00C54ADB">
        <w:rPr>
          <w:shd w:val="clear" w:color="auto" w:fill="FFFFFF"/>
        </w:rPr>
        <w:t>C</w:t>
      </w:r>
    </w:p>
    <w:p w:rsidR="00B72991" w:rsidRPr="00C54ADB" w:rsidRDefault="00B72991" w:rsidP="00B72991">
      <w:pPr>
        <w:rPr>
          <w:shd w:val="clear" w:color="auto" w:fill="FFFFFF"/>
        </w:rPr>
      </w:pPr>
      <w:r w:rsidRPr="00C54ADB">
        <w:rPr>
          <w:shd w:val="clear" w:color="auto" w:fill="FFFFFF"/>
        </w:rPr>
        <w:t>The majority offers just one reason to distinguish appropriations and tax expenditures: A taxpayer experiences injury, the Court asserts, only when the government “extracts and spends” her very own tax dollars to aid religion. </w:t>
      </w:r>
      <w:r w:rsidRPr="00C54ADB">
        <w:rPr>
          <w:i/>
          <w:iCs/>
          <w:shd w:val="clear" w:color="auto" w:fill="FFFFFF"/>
        </w:rPr>
        <w:t>Ante</w:t>
      </w:r>
      <w:r w:rsidRPr="00C54ADB">
        <w:rPr>
          <w:shd w:val="clear" w:color="auto" w:fill="FFFFFF"/>
        </w:rPr>
        <w:t>, at 15 (internal quotation marks and alterations omitted). In other words, a taxpayer suffers legally cognizable harm if but only if her particular tax dollars wind up in a religious organization’s coffers. See also Tr. of Oral Arg. 4 (Solicitor General proposing that the “key point” was: “If you placed an electronic tag to track and monitor each cent that the [Plaintiffs] pay in tax,” none goes to religious STOs). And no taxpayer can make this showing, the Court concludes, if the government subsidizes religion through tax credits, deductions, or exemptions (rather than through appropriations)</w:t>
      </w:r>
      <w:r w:rsidR="00996E4F">
        <w:rPr>
          <w:rStyle w:val="FootnoteReference"/>
          <w:shd w:val="clear" w:color="auto" w:fill="FFFFFF"/>
        </w:rPr>
        <w:footnoteReference w:id="9"/>
      </w:r>
      <w:r w:rsidR="00996E4F">
        <w:rPr>
          <w:shd w:val="clear" w:color="auto" w:fill="FFFFFF"/>
        </w:rPr>
        <w:t xml:space="preserve"> </w:t>
      </w:r>
    </w:p>
    <w:p w:rsidR="00B72991" w:rsidRPr="00C54ADB" w:rsidRDefault="00B72991" w:rsidP="00B72991">
      <w:pPr>
        <w:rPr>
          <w:shd w:val="clear" w:color="auto" w:fill="FFFFFF"/>
        </w:rPr>
      </w:pPr>
      <w:r w:rsidRPr="00C54ADB">
        <w:rPr>
          <w:shd w:val="clear" w:color="auto" w:fill="FFFFFF"/>
        </w:rPr>
        <w:t>The majority purports to rely on </w:t>
      </w:r>
      <w:r w:rsidRPr="00C54ADB">
        <w:rPr>
          <w:i/>
          <w:iCs/>
          <w:shd w:val="clear" w:color="auto" w:fill="FFFFFF"/>
        </w:rPr>
        <w:t>Flast </w:t>
      </w:r>
      <w:r w:rsidRPr="00C54ADB">
        <w:rPr>
          <w:shd w:val="clear" w:color="auto" w:fill="FFFFFF"/>
        </w:rPr>
        <w:t>to support this new “extraction” requirement. It plucks the three words “extrac[t] and spen[d]” from the midst of the </w:t>
      </w:r>
      <w:r w:rsidRPr="00C54ADB">
        <w:rPr>
          <w:i/>
          <w:iCs/>
          <w:shd w:val="clear" w:color="auto" w:fill="FFFFFF"/>
        </w:rPr>
        <w:t>Flast </w:t>
      </w:r>
      <w:r w:rsidRPr="00C54ADB">
        <w:rPr>
          <w:shd w:val="clear" w:color="auto" w:fill="FFFFFF"/>
        </w:rPr>
        <w:t xml:space="preserve">opinion, and suggests that they </w:t>
      </w:r>
      <w:r w:rsidRPr="00C54ADB">
        <w:rPr>
          <w:shd w:val="clear" w:color="auto" w:fill="FFFFFF"/>
        </w:rPr>
        <w:lastRenderedPageBreak/>
        <w:t>severely constrict the decision’s scope. </w:t>
      </w:r>
      <w:r w:rsidRPr="00C54ADB">
        <w:rPr>
          <w:i/>
          <w:iCs/>
          <w:shd w:val="clear" w:color="auto" w:fill="FFFFFF"/>
        </w:rPr>
        <w:t>Ante</w:t>
      </w:r>
      <w:r w:rsidRPr="00C54ADB">
        <w:rPr>
          <w:shd w:val="clear" w:color="auto" w:fill="FFFFFF"/>
        </w:rPr>
        <w:t>, at 15 (quoting 392 U. S., at 106). And it notes that </w:t>
      </w:r>
      <w:r w:rsidRPr="00C54ADB">
        <w:rPr>
          <w:i/>
          <w:iCs/>
          <w:shd w:val="clear" w:color="auto" w:fill="FFFFFF"/>
        </w:rPr>
        <w:t>Flast </w:t>
      </w:r>
      <w:r w:rsidRPr="00C54ADB">
        <w:rPr>
          <w:shd w:val="clear" w:color="auto" w:fill="FFFFFF"/>
        </w:rPr>
        <w:t>partly relied on James Madison’s famed argument in the Memorial and Remonstrance Against Religious Assessments: “ ‘[T]he same authority which can force a citizen to contribute three pence only of his property for the support of any one establishment, may force him to conform to any other establishment in all cases whatsoever.’ ” 392 U. S., at 103 (quoting 2 Writings of James Madison 183, 186 (G. Hunt ed. 1901)); see </w:t>
      </w:r>
      <w:r w:rsidRPr="00C54ADB">
        <w:rPr>
          <w:i/>
          <w:iCs/>
          <w:shd w:val="clear" w:color="auto" w:fill="FFFFFF"/>
        </w:rPr>
        <w:t>ante, </w:t>
      </w:r>
      <w:r w:rsidRPr="00C54ADB">
        <w:rPr>
          <w:shd w:val="clear" w:color="auto" w:fill="FFFFFF"/>
        </w:rPr>
        <w:t>at 12–14. And that is all the majority can come up with.</w:t>
      </w:r>
    </w:p>
    <w:p w:rsidR="00B72991" w:rsidRPr="00C54ADB" w:rsidRDefault="00B72991" w:rsidP="00B72991">
      <w:pPr>
        <w:rPr>
          <w:shd w:val="clear" w:color="auto" w:fill="FFFFFF"/>
        </w:rPr>
      </w:pPr>
      <w:r w:rsidRPr="00C54ADB">
        <w:rPr>
          <w:shd w:val="clear" w:color="auto" w:fill="FFFFFF"/>
        </w:rPr>
        <w:t>But as indicated earlier, everything of import in </w:t>
      </w:r>
      <w:r w:rsidRPr="00C54ADB">
        <w:rPr>
          <w:i/>
          <w:iCs/>
          <w:shd w:val="clear" w:color="auto" w:fill="FFFFFF"/>
        </w:rPr>
        <w:t>Flast </w:t>
      </w:r>
      <w:r w:rsidRPr="00C54ADB">
        <w:rPr>
          <w:shd w:val="clear" w:color="auto" w:fill="FFFFFF"/>
        </w:rPr>
        <w:t>cuts against the majority’s position. Here is how </w:t>
      </w:r>
      <w:r w:rsidRPr="00C54ADB">
        <w:rPr>
          <w:i/>
          <w:iCs/>
          <w:shd w:val="clear" w:color="auto" w:fill="FFFFFF"/>
        </w:rPr>
        <w:t>Flast</w:t>
      </w:r>
      <w:r w:rsidRPr="00C54ADB">
        <w:rPr>
          <w:shd w:val="clear" w:color="auto" w:fill="FFFFFF"/>
        </w:rPr>
        <w:t> stated its holding: “[W]e hold that a taxpayer will have standing consistent with Article III to invoke federal judicial power when he alleges that congressional action under the taxing and spending clause is in derogation of” the Establishment Clause. 392 U. S., at 105–106. Nothing in that straightforward sentence supports the idea that a taxpayer can challenge only legislative action that disburses his particular contribution to the state treasury. And here is how </w:t>
      </w:r>
      <w:r w:rsidRPr="00C54ADB">
        <w:rPr>
          <w:i/>
          <w:iCs/>
          <w:shd w:val="clear" w:color="auto" w:fill="FFFFFF"/>
        </w:rPr>
        <w:t>Flast </w:t>
      </w:r>
      <w:r w:rsidRPr="00C54ADB">
        <w:rPr>
          <w:shd w:val="clear" w:color="auto" w:fill="FFFFFF"/>
        </w:rPr>
        <w:t>primarily justified its holding: “[O]ne of the specific evils feared by those who drafted the Establishment Clause and fought for its adoption was that the taxing and spending power would be used to favor one religion over another or to support religion in general.” </w:t>
      </w:r>
      <w:r w:rsidRPr="00C54ADB">
        <w:rPr>
          <w:i/>
          <w:iCs/>
          <w:shd w:val="clear" w:color="auto" w:fill="FFFFFF"/>
        </w:rPr>
        <w:t>Id.</w:t>
      </w:r>
      <w:r w:rsidRPr="00C54ADB">
        <w:rPr>
          <w:shd w:val="clear" w:color="auto" w:fill="FFFFFF"/>
        </w:rPr>
        <w:t>, at 103. That evil arises even if the specific dollars that the government uses do not come from citizens who object to the preference. Likewise, the two-part nexus test, which is the heart of </w:t>
      </w:r>
      <w:r w:rsidRPr="00C54ADB">
        <w:rPr>
          <w:i/>
          <w:iCs/>
          <w:shd w:val="clear" w:color="auto" w:fill="FFFFFF"/>
        </w:rPr>
        <w:t>Flast</w:t>
      </w:r>
      <w:r w:rsidRPr="00C54ADB">
        <w:rPr>
          <w:shd w:val="clear" w:color="auto" w:fill="FFFFFF"/>
        </w:rPr>
        <w:t>’s doctrinal analysis, contains no hint of an extraction requirement. See </w:t>
      </w:r>
      <w:r w:rsidRPr="00C54ADB">
        <w:rPr>
          <w:i/>
          <w:iCs/>
          <w:shd w:val="clear" w:color="auto" w:fill="FFFFFF"/>
        </w:rPr>
        <w:t>supra</w:t>
      </w:r>
      <w:r w:rsidRPr="00C54ADB">
        <w:rPr>
          <w:shd w:val="clear" w:color="auto" w:fill="FFFFFF"/>
        </w:rPr>
        <w:t>, at 4. And finally, James Madison provides no comfort to today’s majority. He referred to “three pence” exactly because it was, even in 1785, a meaningless sum of money; then, as today, the core injury of a religious establishment had naught to do with any given individual’s out-of-pocket loss. See </w:t>
      </w:r>
      <w:r w:rsidRPr="00C54ADB">
        <w:rPr>
          <w:i/>
          <w:iCs/>
          <w:shd w:val="clear" w:color="auto" w:fill="FFFFFF"/>
        </w:rPr>
        <w:t>infra</w:t>
      </w:r>
      <w:r w:rsidRPr="00C54ADB">
        <w:rPr>
          <w:shd w:val="clear" w:color="auto" w:fill="FFFFFF"/>
        </w:rPr>
        <w:t>, at 21–23 (further discussing Madison’s views). So the majority is left with nothing, save for three words </w:t>
      </w:r>
      <w:r w:rsidRPr="00C54ADB">
        <w:rPr>
          <w:i/>
          <w:iCs/>
          <w:shd w:val="clear" w:color="auto" w:fill="FFFFFF"/>
        </w:rPr>
        <w:t>Flast </w:t>
      </w:r>
      <w:r w:rsidRPr="00C54ADB">
        <w:rPr>
          <w:shd w:val="clear" w:color="auto" w:fill="FFFFFF"/>
        </w:rPr>
        <w:t>used to describe the particular facts in that case: In not a single non-trivial respect could the </w:t>
      </w:r>
      <w:r w:rsidRPr="00C54ADB">
        <w:rPr>
          <w:i/>
          <w:iCs/>
          <w:shd w:val="clear" w:color="auto" w:fill="FFFFFF"/>
        </w:rPr>
        <w:t>Flast </w:t>
      </w:r>
      <w:r w:rsidRPr="00C54ADB">
        <w:rPr>
          <w:shd w:val="clear" w:color="auto" w:fill="FFFFFF"/>
        </w:rPr>
        <w:t>Court recognize its handiwork in the majority’s depiction.</w:t>
      </w:r>
    </w:p>
    <w:p w:rsidR="00B72991" w:rsidRPr="00C54ADB" w:rsidRDefault="00B72991" w:rsidP="00B72991">
      <w:pPr>
        <w:rPr>
          <w:shd w:val="clear" w:color="auto" w:fill="FFFFFF"/>
        </w:rPr>
      </w:pPr>
      <w:r w:rsidRPr="00C54ADB">
        <w:rPr>
          <w:shd w:val="clear" w:color="auto" w:fill="FFFFFF"/>
        </w:rPr>
        <w:t>The injury to taxpayers that </w:t>
      </w:r>
      <w:r w:rsidRPr="00C54ADB">
        <w:rPr>
          <w:i/>
          <w:iCs/>
          <w:shd w:val="clear" w:color="auto" w:fill="FFFFFF"/>
        </w:rPr>
        <w:t>Flast </w:t>
      </w:r>
      <w:r w:rsidRPr="00C54ADB">
        <w:rPr>
          <w:shd w:val="clear" w:color="auto" w:fill="FFFFFF"/>
        </w:rPr>
        <w:t>perceived arose whenever the legislature used its taxing-and-spending power to channel tax dollars to religious activities. In that and subsequent cases (including the five in this Court involving tax expenditures), a taxpayer pleaded the requisite harm by stating that public resources were funding religion; the tracing of particular dollars (whether by the Solicitor General’s “electronic tag” or other means) did not enter into the question. See </w:t>
      </w:r>
      <w:r w:rsidRPr="00C54ADB">
        <w:rPr>
          <w:i/>
          <w:iCs/>
          <w:shd w:val="clear" w:color="auto" w:fill="FFFFFF"/>
        </w:rPr>
        <w:t>DaimlerChrysler Corp.</w:t>
      </w:r>
      <w:r w:rsidRPr="00C54ADB">
        <w:rPr>
          <w:shd w:val="clear" w:color="auto" w:fill="FFFFFF"/>
        </w:rPr>
        <w:t>, 547 U. S., at 348 (describing how the </w:t>
      </w:r>
      <w:r w:rsidRPr="00C54ADB">
        <w:rPr>
          <w:i/>
          <w:iCs/>
          <w:shd w:val="clear" w:color="auto" w:fill="FFFFFF"/>
        </w:rPr>
        <w:t>Flast </w:t>
      </w:r>
      <w:r w:rsidRPr="00C54ADB">
        <w:rPr>
          <w:shd w:val="clear" w:color="auto" w:fill="FFFFFF"/>
        </w:rPr>
        <w:t>Court’s understanding of the Establishment Clause’s history led the Court to view the alleged “injury” as the expenditure of “ ‘tax money’ in aid of religion” (quoting </w:t>
      </w:r>
      <w:r w:rsidRPr="00C54ADB">
        <w:rPr>
          <w:i/>
          <w:iCs/>
          <w:shd w:val="clear" w:color="auto" w:fill="FFFFFF"/>
        </w:rPr>
        <w:t>Flast</w:t>
      </w:r>
      <w:r w:rsidRPr="00C54ADB">
        <w:rPr>
          <w:shd w:val="clear" w:color="auto" w:fill="FFFFFF"/>
        </w:rPr>
        <w:t>, 392 U. S., at 106)). And for all the reasons already given, that standard is met regardless whether the funding is provided via cash grant or tax expenditure. See </w:t>
      </w:r>
      <w:r w:rsidRPr="00C54ADB">
        <w:rPr>
          <w:i/>
          <w:iCs/>
          <w:shd w:val="clear" w:color="auto" w:fill="FFFFFF"/>
        </w:rPr>
        <w:t>supra</w:t>
      </w:r>
      <w:r w:rsidRPr="00C54ADB">
        <w:rPr>
          <w:shd w:val="clear" w:color="auto" w:fill="FFFFFF"/>
        </w:rPr>
        <w:t>, at 11–16. Taxpayers pick up the cost of the subsidy in either form. See </w:t>
      </w:r>
      <w:r w:rsidRPr="00C54ADB">
        <w:rPr>
          <w:i/>
          <w:iCs/>
          <w:shd w:val="clear" w:color="auto" w:fill="FFFFFF"/>
        </w:rPr>
        <w:t>ibid</w:t>
      </w:r>
      <w:r w:rsidRPr="00C54ADB">
        <w:rPr>
          <w:shd w:val="clear" w:color="auto" w:fill="FFFFFF"/>
        </w:rPr>
        <w:t>. So taxpayers have an interest in preventing the use of either mechanism to infringe religious neutrality</w:t>
      </w:r>
      <w:r w:rsidR="00996E4F">
        <w:rPr>
          <w:rStyle w:val="FootnoteReference"/>
          <w:shd w:val="clear" w:color="auto" w:fill="FFFFFF"/>
        </w:rPr>
        <w:footnoteReference w:id="10"/>
      </w:r>
      <w:r w:rsidR="00996E4F">
        <w:rPr>
          <w:shd w:val="clear" w:color="auto" w:fill="FFFFFF"/>
        </w:rPr>
        <w:t xml:space="preserve"> </w:t>
      </w:r>
    </w:p>
    <w:p w:rsidR="00B72991" w:rsidRPr="00C54ADB" w:rsidRDefault="00B72991" w:rsidP="00B72991">
      <w:pPr>
        <w:rPr>
          <w:shd w:val="clear" w:color="auto" w:fill="FFFFFF"/>
        </w:rPr>
      </w:pPr>
      <w:r w:rsidRPr="00C54ADB">
        <w:rPr>
          <w:shd w:val="clear" w:color="auto" w:fill="FFFFFF"/>
        </w:rPr>
        <w:lastRenderedPageBreak/>
        <w:t>Indeed, the majority’s new conception of injury is at odds not merely with </w:t>
      </w:r>
      <w:r w:rsidRPr="00C54ADB">
        <w:rPr>
          <w:i/>
          <w:iCs/>
          <w:shd w:val="clear" w:color="auto" w:fill="FFFFFF"/>
        </w:rPr>
        <w:t>Flast</w:t>
      </w:r>
      <w:r w:rsidRPr="00C54ADB">
        <w:rPr>
          <w:shd w:val="clear" w:color="auto" w:fill="FFFFFF"/>
        </w:rPr>
        <w:t>, but also (if ironically) with our cases precluding taxpayer standing generally. See </w:t>
      </w:r>
      <w:r w:rsidRPr="00C54ADB">
        <w:rPr>
          <w:i/>
          <w:iCs/>
          <w:shd w:val="clear" w:color="auto" w:fill="FFFFFF"/>
        </w:rPr>
        <w:t>supra</w:t>
      </w:r>
      <w:r w:rsidRPr="00C54ADB">
        <w:rPr>
          <w:shd w:val="clear" w:color="auto" w:fill="FFFFFF"/>
        </w:rPr>
        <w:t>, at 3; </w:t>
      </w:r>
      <w:r w:rsidRPr="00C54ADB">
        <w:rPr>
          <w:i/>
          <w:iCs/>
          <w:shd w:val="clear" w:color="auto" w:fill="FFFFFF"/>
        </w:rPr>
        <w:t>ante</w:t>
      </w:r>
      <w:r w:rsidRPr="00C54ADB">
        <w:rPr>
          <w:shd w:val="clear" w:color="auto" w:fill="FFFFFF"/>
        </w:rPr>
        <w:t>, at 6–10. Today’s majority insists that legislation challenged under the Establishment Clause must “extrac[t] and spen[d] a conscientious dissenter’s funds.” </w:t>
      </w:r>
      <w:r w:rsidRPr="00C54ADB">
        <w:rPr>
          <w:i/>
          <w:iCs/>
          <w:shd w:val="clear" w:color="auto" w:fill="FFFFFF"/>
        </w:rPr>
        <w:t>Ante</w:t>
      </w:r>
      <w:r w:rsidRPr="00C54ADB">
        <w:rPr>
          <w:shd w:val="clear" w:color="auto" w:fill="FFFFFF"/>
        </w:rPr>
        <w:t>, at 15. But we have rejected taxpayer standing in other contexts because each taxpayer’s share of treasury funds is “minute and indeterminable.” </w:t>
      </w:r>
      <w:r w:rsidRPr="00C54ADB">
        <w:rPr>
          <w:i/>
          <w:iCs/>
          <w:shd w:val="clear" w:color="auto" w:fill="FFFFFF"/>
        </w:rPr>
        <w:t>Frothingham</w:t>
      </w:r>
      <w:r w:rsidRPr="00C54ADB">
        <w:rPr>
          <w:shd w:val="clear" w:color="auto" w:fill="FFFFFF"/>
        </w:rPr>
        <w:t>, 262 U. S., at 487. No taxpayer can point to an expenditure (by cash grant or otherwise) and say that her own tax dollars are in the mix; in fact, they almost surely are not. “[I]t is,” as we have noted, “a complete fiction to argue that an unconstitutional … expenditure causes an individual … taxpayer any measurable economic harm.” </w:t>
      </w:r>
      <w:r w:rsidRPr="00C54ADB">
        <w:rPr>
          <w:i/>
          <w:iCs/>
          <w:shd w:val="clear" w:color="auto" w:fill="FFFFFF"/>
        </w:rPr>
        <w:t>Hein</w:t>
      </w:r>
      <w:r w:rsidRPr="00C54ADB">
        <w:rPr>
          <w:shd w:val="clear" w:color="auto" w:fill="FFFFFF"/>
        </w:rPr>
        <w:t>, 551 U. S., at 593 (plurality opinion). That is as true in Establishment Clause cases as in any others. Taxpayers have standing in these cases </w:t>
      </w:r>
      <w:r w:rsidRPr="00C54ADB">
        <w:rPr>
          <w:i/>
          <w:iCs/>
          <w:shd w:val="clear" w:color="auto" w:fill="FFFFFF"/>
        </w:rPr>
        <w:t>despite</w:t>
      </w:r>
      <w:r w:rsidRPr="00C54ADB">
        <w:rPr>
          <w:shd w:val="clear" w:color="auto" w:fill="FFFFFF"/>
        </w:rPr>
        <w:t> their foreseeable failure to show that the alleged constitutional violation involves their own tax dollars, not </w:t>
      </w:r>
      <w:r w:rsidRPr="00C54ADB">
        <w:rPr>
          <w:i/>
          <w:iCs/>
          <w:shd w:val="clear" w:color="auto" w:fill="FFFFFF"/>
        </w:rPr>
        <w:t>because</w:t>
      </w:r>
      <w:r w:rsidRPr="00C54ADB">
        <w:rPr>
          <w:shd w:val="clear" w:color="auto" w:fill="FFFFFF"/>
        </w:rPr>
        <w:t> the State has used their particular funds.</w:t>
      </w:r>
    </w:p>
    <w:p w:rsidR="00B72991" w:rsidRPr="00C54ADB" w:rsidRDefault="00B72991" w:rsidP="00B72991">
      <w:pPr>
        <w:rPr>
          <w:shd w:val="clear" w:color="auto" w:fill="FFFFFF"/>
        </w:rPr>
      </w:pPr>
      <w:r w:rsidRPr="00C54ADB">
        <w:rPr>
          <w:shd w:val="clear" w:color="auto" w:fill="FFFFFF"/>
        </w:rPr>
        <w:t>And something still deeper is wrong with the majority’s “extract and spend” requirement: It does not measure what matters under the Establishment Clause. Let us indulge the Court’s fiction that a taxpayer’s “.000000000001 penny” is somehow involved in an ordinary appropriation of public funds for religious activity (thus supposedly distinguishing it from a tax expenditure). Still, consider the following example: Imagine the Internal Revenue Service places a checkbox on tax returns asking filers if they object to the government using their taxes to aid religion. If the government keeps “yes” money separate from “no” money and subsidizes religious activities only from the nonobjectors’ account, the majority’s analysis suggests that no taxpayer would have standing to allege a violation of the Establishment Clause. The funds used, after all, would not have been “extracted from a citizen and handed to a religious institution in violation of the citizen’s conscience.” </w:t>
      </w:r>
      <w:r w:rsidRPr="00C54ADB">
        <w:rPr>
          <w:i/>
          <w:iCs/>
          <w:shd w:val="clear" w:color="auto" w:fill="FFFFFF"/>
        </w:rPr>
        <w:t>Ante</w:t>
      </w:r>
      <w:r w:rsidRPr="00C54ADB">
        <w:rPr>
          <w:shd w:val="clear" w:color="auto" w:fill="FFFFFF"/>
        </w:rPr>
        <w:t>, at 16. But this Court has never indicated that States may insulate subsidies to religious organizations from legal challenge by eliciting the consent of some taxpayers. And the Court has of course been right not to take this approach. Taxpayers incur the same harm, and should have the same ability to bring suit, whether the government stores tax funds in one bank account or two. None of the principles underlying the Establishment Clause suggests otherwise.</w:t>
      </w:r>
    </w:p>
    <w:p w:rsidR="00B72991" w:rsidRPr="00C54ADB" w:rsidRDefault="00B72991" w:rsidP="00B72991">
      <w:pPr>
        <w:rPr>
          <w:shd w:val="clear" w:color="auto" w:fill="FFFFFF"/>
        </w:rPr>
      </w:pPr>
      <w:r w:rsidRPr="00C54ADB">
        <w:rPr>
          <w:shd w:val="clear" w:color="auto" w:fill="FFFFFF"/>
        </w:rPr>
        <w:t>James Madison, whom the Court again rightly labels “the leading architect of the religion clauses,” </w:t>
      </w:r>
      <w:r w:rsidRPr="00C54ADB">
        <w:rPr>
          <w:i/>
          <w:iCs/>
          <w:shd w:val="clear" w:color="auto" w:fill="FFFFFF"/>
        </w:rPr>
        <w:t>ante</w:t>
      </w:r>
      <w:r w:rsidRPr="00C54ADB">
        <w:rPr>
          <w:shd w:val="clear" w:color="auto" w:fill="FFFFFF"/>
        </w:rPr>
        <w:t>, at 13 (quoting </w:t>
      </w:r>
      <w:r w:rsidRPr="00C54ADB">
        <w:rPr>
          <w:i/>
          <w:iCs/>
          <w:shd w:val="clear" w:color="auto" w:fill="FFFFFF"/>
        </w:rPr>
        <w:t>Flast</w:t>
      </w:r>
      <w:r w:rsidRPr="00C54ADB">
        <w:rPr>
          <w:shd w:val="clear" w:color="auto" w:fill="FFFFFF"/>
        </w:rPr>
        <w:t>, 392 U. S., at 103; internal quotation marks omitted), had something important to say about the matter of “extraction.” As the majority notes, Madison’s Memorial and Remonstrance criticized a tax levy proposed in Virginia to aid teachers of the Christian religion. </w:t>
      </w:r>
      <w:r w:rsidRPr="00C54ADB">
        <w:rPr>
          <w:i/>
          <w:iCs/>
          <w:shd w:val="clear" w:color="auto" w:fill="FFFFFF"/>
        </w:rPr>
        <w:t>Ante</w:t>
      </w:r>
      <w:r w:rsidRPr="00C54ADB">
        <w:rPr>
          <w:shd w:val="clear" w:color="auto" w:fill="FFFFFF"/>
        </w:rPr>
        <w:t>, at 12–13. But Madison’s passionate opposition to that proposal informs this case in a manner different than the majority suggests. The Virginia tax in fact would not have extracted any monies (not even “three pence”) from unwilling citizens, as the Court now requires. The plan allowed conscientious objectors to opt out of subsidizing religion by contributing their assessment to an alternative fund for the construction and maintenance of county schools</w:t>
      </w:r>
      <w:r w:rsidR="00996E4F">
        <w:rPr>
          <w:rStyle w:val="FootnoteReference"/>
          <w:shd w:val="clear" w:color="auto" w:fill="FFFFFF"/>
        </w:rPr>
        <w:footnoteReference w:id="11"/>
      </w:r>
      <w:r w:rsidR="00996E4F">
        <w:rPr>
          <w:shd w:val="clear" w:color="auto" w:fill="FFFFFF"/>
        </w:rPr>
        <w:t xml:space="preserve"> </w:t>
      </w:r>
      <w:r w:rsidRPr="00C54ADB">
        <w:rPr>
          <w:shd w:val="clear" w:color="auto" w:fill="FFFFFF"/>
        </w:rPr>
        <w:t xml:space="preserve"> See A Bill Establishing A Provision for Teachers of the Christian Religion, </w:t>
      </w:r>
      <w:r w:rsidRPr="00C54ADB">
        <w:rPr>
          <w:shd w:val="clear" w:color="auto" w:fill="FFFFFF"/>
        </w:rPr>
        <w:lastRenderedPageBreak/>
        <w:t>reprinted in </w:t>
      </w:r>
      <w:r w:rsidRPr="00C54ADB">
        <w:rPr>
          <w:i/>
          <w:iCs/>
          <w:shd w:val="clear" w:color="auto" w:fill="FFFFFF"/>
        </w:rPr>
        <w:t>Everson</w:t>
      </w:r>
      <w:r w:rsidRPr="00C54ADB">
        <w:rPr>
          <w:shd w:val="clear" w:color="auto" w:fill="FFFFFF"/>
        </w:rPr>
        <w:t> v. </w:t>
      </w:r>
      <w:r w:rsidRPr="00C54ADB">
        <w:rPr>
          <w:i/>
          <w:iCs/>
          <w:shd w:val="clear" w:color="auto" w:fill="FFFFFF"/>
        </w:rPr>
        <w:t>Board of Ed. of Ewing</w:t>
      </w:r>
      <w:r w:rsidRPr="00C54ADB">
        <w:rPr>
          <w:shd w:val="clear" w:color="auto" w:fill="FFFFFF"/>
        </w:rPr>
        <w:t>, </w:t>
      </w:r>
      <w:r w:rsidRPr="00C54ADB">
        <w:rPr>
          <w:u w:val="single"/>
        </w:rPr>
        <w:t>330 U. S. 1</w:t>
      </w:r>
      <w:r w:rsidRPr="00C54ADB">
        <w:rPr>
          <w:shd w:val="clear" w:color="auto" w:fill="FFFFFF"/>
        </w:rPr>
        <w:t>, 74 (1947) (supplemental appendix to dissent of Rutledge, J.); Letter from James Madison to Thomas Jefferson (Jan. 9, 1785), reprinted in 2 Writings of James Madison, at 102, 113; see also Blasi, School Vouchers and Religious Liberty: Seven Questions from Madison’s </w:t>
      </w:r>
      <w:r w:rsidRPr="00C54ADB">
        <w:rPr>
          <w:i/>
          <w:iCs/>
          <w:shd w:val="clear" w:color="auto" w:fill="FFFFFF"/>
        </w:rPr>
        <w:t>Memorial and Remonstrance</w:t>
      </w:r>
      <w:r w:rsidRPr="00C54ADB">
        <w:rPr>
          <w:shd w:val="clear" w:color="auto" w:fill="FFFFFF"/>
        </w:rPr>
        <w:t>, 87 Cornell L. Rev. 783, 784 (2002) (the tax provision “permitted each taxpayer to specify which Christian denomination should receive his payment” and “[t]hose who did not wish to support a church could direct their assessment to a proposed common school fund”). Indeed, the Virginia Assessment was specifically “designed to avoid any charges of coercion of dissenters to pay taxes to support religious teachings with which they disagreed.” Feldman, Intellectual Origins of the Establishment Clause, 77 N. Y. U. L. Rev. 346, 383 (2002)</w:t>
      </w:r>
      <w:r w:rsidR="00996E4F">
        <w:rPr>
          <w:rStyle w:val="FootnoteReference"/>
          <w:shd w:val="clear" w:color="auto" w:fill="FFFFFF"/>
        </w:rPr>
        <w:footnoteReference w:id="12"/>
      </w:r>
      <w:r w:rsidR="00996E4F">
        <w:rPr>
          <w:shd w:val="clear" w:color="auto" w:fill="FFFFFF"/>
        </w:rPr>
        <w:t xml:space="preserve"> </w:t>
      </w:r>
    </w:p>
    <w:p w:rsidR="00B72991" w:rsidRPr="00C54ADB" w:rsidRDefault="00B72991" w:rsidP="00B72991">
      <w:pPr>
        <w:rPr>
          <w:shd w:val="clear" w:color="auto" w:fill="FFFFFF"/>
        </w:rPr>
      </w:pPr>
      <w:r w:rsidRPr="00C54ADB">
        <w:rPr>
          <w:shd w:val="clear" w:color="auto" w:fill="FFFFFF"/>
        </w:rPr>
        <w:t>In this respect, the Virginia Assessment is just like the Arizona tax credit. Although both funnel tax funds to religious organizations (and so saddle </w:t>
      </w:r>
      <w:r w:rsidRPr="00C54ADB">
        <w:rPr>
          <w:i/>
          <w:iCs/>
          <w:shd w:val="clear" w:color="auto" w:fill="FFFFFF"/>
        </w:rPr>
        <w:t>all</w:t>
      </w:r>
      <w:r w:rsidRPr="00C54ADB">
        <w:rPr>
          <w:shd w:val="clear" w:color="auto" w:fill="FFFFFF"/>
        </w:rPr>
        <w:t> taxpayers with the cost), neither forces any given taxpayer to pay for the subsidy out of her pocket. Madison thought that feature of the Assessment insufficient to save it. By relying on the selfsame aspect of the Arizona scheme to deny the Plaintiffs’ claim of injury, the majority betrays Madison’s vision.</w:t>
      </w:r>
    </w:p>
    <w:p w:rsidR="00B72991" w:rsidRPr="00C54ADB" w:rsidRDefault="00B72991" w:rsidP="00B72991">
      <w:pPr>
        <w:pStyle w:val="Heading2"/>
        <w:rPr>
          <w:shd w:val="clear" w:color="auto" w:fill="FFFFFF"/>
        </w:rPr>
      </w:pPr>
      <w:r w:rsidRPr="00C54ADB">
        <w:rPr>
          <w:shd w:val="clear" w:color="auto" w:fill="FFFFFF"/>
        </w:rPr>
        <w:t>III</w:t>
      </w:r>
    </w:p>
    <w:p w:rsidR="00B72991" w:rsidRPr="00C54ADB" w:rsidRDefault="00B72991" w:rsidP="00B72991">
      <w:pPr>
        <w:rPr>
          <w:shd w:val="clear" w:color="auto" w:fill="FFFFFF"/>
        </w:rPr>
      </w:pPr>
      <w:r w:rsidRPr="00C54ADB">
        <w:rPr>
          <w:shd w:val="clear" w:color="auto" w:fill="FFFFFF"/>
        </w:rPr>
        <w:t>Today’s decision devastates taxpayer standing in Establishment Clause cases. The government, after all, often uses tax expenditures to subsidize favored persons and activities. Still more, the government almost </w:t>
      </w:r>
      <w:r w:rsidRPr="00C54ADB">
        <w:rPr>
          <w:i/>
          <w:iCs/>
          <w:shd w:val="clear" w:color="auto" w:fill="FFFFFF"/>
        </w:rPr>
        <w:t>always</w:t>
      </w:r>
      <w:r w:rsidRPr="00C54ADB">
        <w:rPr>
          <w:shd w:val="clear" w:color="auto" w:fill="FFFFFF"/>
        </w:rPr>
        <w:t> has this option. Appropriations and tax subsidies are readily interchangeable; what is a cash grant today can be a tax break tomorrow. The Court’s opinion thus offers a roadmap—more truly, just a one-step instruction—to any government that wishes to insulate its financing of religious activity from legal challenge. Structure the funding as a tax expenditure, and </w:t>
      </w:r>
      <w:r w:rsidRPr="00C54ADB">
        <w:rPr>
          <w:i/>
          <w:iCs/>
          <w:shd w:val="clear" w:color="auto" w:fill="FFFFFF"/>
        </w:rPr>
        <w:t>Flast </w:t>
      </w:r>
      <w:r w:rsidRPr="00C54ADB">
        <w:rPr>
          <w:shd w:val="clear" w:color="auto" w:fill="FFFFFF"/>
        </w:rPr>
        <w:t>will not stand in the way. No taxpayer will have standing to object. However blatantly the government may violate the Establishment Clause, taxpayers cannot gain access to the federal courts.</w:t>
      </w:r>
    </w:p>
    <w:p w:rsidR="00B72991" w:rsidRPr="00C54ADB" w:rsidRDefault="00B72991" w:rsidP="00B72991">
      <w:pPr>
        <w:rPr>
          <w:shd w:val="clear" w:color="auto" w:fill="FFFFFF"/>
        </w:rPr>
      </w:pPr>
      <w:r w:rsidRPr="00C54ADB">
        <w:rPr>
          <w:shd w:val="clear" w:color="auto" w:fill="FFFFFF"/>
        </w:rPr>
        <w:t>And by ravaging </w:t>
      </w:r>
      <w:r w:rsidRPr="00C54ADB">
        <w:rPr>
          <w:i/>
          <w:iCs/>
          <w:shd w:val="clear" w:color="auto" w:fill="FFFFFF"/>
        </w:rPr>
        <w:t>Flast </w:t>
      </w:r>
      <w:r w:rsidRPr="00C54ADB">
        <w:rPr>
          <w:shd w:val="clear" w:color="auto" w:fill="FFFFFF"/>
        </w:rPr>
        <w:t xml:space="preserve">in this way, today’s decision damages one of this Nation’s defining constitutional commitments. “Congress shall make no law respecting an establishment of religion”—ten simple words that have stood for over 200 years as a foundation stone of American religious liberty. Ten words that this Court has long understood, as James Madison did, to limit (though by no means eliminate) the government’s power to finance religious </w:t>
      </w:r>
      <w:r w:rsidRPr="00C54ADB">
        <w:rPr>
          <w:shd w:val="clear" w:color="auto" w:fill="FFFFFF"/>
        </w:rPr>
        <w:lastRenderedPageBreak/>
        <w:t>activity. The Court’s ruling today will not shield all state subsidies for religion from review; as the Court notes, some persons alleging Establishment Clause violations have suffered individualized injuries, and therefore have standing, independent of their taxpayer status. See </w:t>
      </w:r>
      <w:r w:rsidRPr="00C54ADB">
        <w:rPr>
          <w:i/>
          <w:iCs/>
          <w:shd w:val="clear" w:color="auto" w:fill="FFFFFF"/>
        </w:rPr>
        <w:t>ante</w:t>
      </w:r>
      <w:r w:rsidRPr="00C54ADB">
        <w:rPr>
          <w:shd w:val="clear" w:color="auto" w:fill="FFFFFF"/>
        </w:rPr>
        <w:t>, at 1–2, 17–18. But </w:t>
      </w:r>
      <w:r w:rsidRPr="00C54ADB">
        <w:rPr>
          <w:i/>
          <w:iCs/>
          <w:shd w:val="clear" w:color="auto" w:fill="FFFFFF"/>
        </w:rPr>
        <w:t>Flast </w:t>
      </w:r>
      <w:r w:rsidRPr="00C54ADB">
        <w:rPr>
          <w:shd w:val="clear" w:color="auto" w:fill="FFFFFF"/>
        </w:rPr>
        <w:t>arose because “the taxing and spending power [may] be used to favor one religion over another or to support religion in general,” 392 U. S., at 103, without causing particularized harm to discrete persons. It arose because state sponsorship of religion sometimes harms individuals only (but this “only” is no small matter) in their capacity as contributing members of our national community. In those cases, the </w:t>
      </w:r>
      <w:r w:rsidRPr="00C54ADB">
        <w:rPr>
          <w:i/>
          <w:iCs/>
          <w:shd w:val="clear" w:color="auto" w:fill="FFFFFF"/>
        </w:rPr>
        <w:t>Flast </w:t>
      </w:r>
      <w:r w:rsidRPr="00C54ADB">
        <w:rPr>
          <w:shd w:val="clear" w:color="auto" w:fill="FFFFFF"/>
        </w:rPr>
        <w:t>Court thought, our Constitution’s guarantee of religious neutrality still should be enforced.</w:t>
      </w:r>
    </w:p>
    <w:p w:rsidR="00B72991" w:rsidRPr="00C54ADB" w:rsidRDefault="00B72991" w:rsidP="00996E4F">
      <w:r w:rsidRPr="00C54ADB">
        <w:rPr>
          <w:shd w:val="clear" w:color="auto" w:fill="FFFFFF"/>
        </w:rPr>
        <w:t>Because that judgment was right then, and remains right today, I respectfully dissent.</w:t>
      </w:r>
      <w:r w:rsidR="00996E4F" w:rsidRPr="00C54ADB">
        <w:t xml:space="preserve"> </w:t>
      </w:r>
    </w:p>
    <w:p w:rsidR="006A222D" w:rsidRPr="00126FEB" w:rsidRDefault="006A222D" w:rsidP="00107D4C"/>
    <w:sectPr w:rsidR="006A222D"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EDF" w:rsidRDefault="00F82EDF" w:rsidP="006A222D">
      <w:r>
        <w:separator/>
      </w:r>
    </w:p>
  </w:endnote>
  <w:endnote w:type="continuationSeparator" w:id="0">
    <w:p w:rsidR="00F82EDF" w:rsidRDefault="00F82EDF"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EDF" w:rsidRDefault="00F82EDF" w:rsidP="006A222D">
      <w:r>
        <w:separator/>
      </w:r>
    </w:p>
  </w:footnote>
  <w:footnote w:type="continuationSeparator" w:id="0">
    <w:p w:rsidR="00F82EDF" w:rsidRDefault="00F82EDF" w:rsidP="006A222D">
      <w:r>
        <w:continuationSeparator/>
      </w:r>
    </w:p>
  </w:footnote>
  <w:footnote w:id="1">
    <w:p w:rsidR="00720FFA" w:rsidRDefault="00720FFA" w:rsidP="00720FFA">
      <w:pPr>
        <w:pStyle w:val="FootnoteText"/>
      </w:pPr>
      <w:r>
        <w:rPr>
          <w:rStyle w:val="FootnoteReference"/>
        </w:rPr>
        <w:footnoteRef/>
      </w:r>
      <w:r>
        <w:t xml:space="preserve"> “Tax expenditures” are monetary subsidies the government bestows on particular individuals or organizations by granting them preferential tax treatment. The co-chairmen of the National Commission on Fiscal Responsibility and Reform recently referred to these tax breaks as “the various deductions, credits and loopholes that are just spending by another name.” Washington Post, Feb. 20, 2011, p. A19, col. 3; see also 2 U. S. C. §622(3) (defining “tax expenditures,” for purposes of the Federal Government’s budgetary process, as “those revenue losses attributable to provisions of the … tax laws which allow a special exclusion, exemption, or deduction from gross income or which provide a special credit, a preferential rate of tax, or a deferral of tax liability”); S. Surrey &amp; P. McDaniel, Tax Expenditures 3 (1985) (explaining that tax expenditures “represent government spending for favored activities or groups, effected through the tax system rather than through direct grants, loans, or other forms of government assistance”).</w:t>
      </w:r>
    </w:p>
  </w:footnote>
  <w:footnote w:id="2">
    <w:p w:rsidR="00996E4F" w:rsidRDefault="00996E4F">
      <w:pPr>
        <w:pStyle w:val="FootnoteText"/>
      </w:pPr>
      <w:r>
        <w:rPr>
          <w:rStyle w:val="FootnoteReference"/>
        </w:rPr>
        <w:footnoteRef/>
      </w:r>
      <w:r>
        <w:t xml:space="preserve"> See Johnson v. Economic Development Corporation of Cty. of Oakland, 241 F. 3d 501 (CA6 2001), aff’g 64 F. Supp. 2d 657 (ED Mich. 1999); Steele v. Industrial Development Bd. of Metropolitan Govt. Nashville, 301 F. 3d 401 (CA6 2002), rev’g 117 F. Supp. 2d 693 (MD Tenn. 2000); Christie v. United States, 31 Fed. Appx. 571 (CA9 2002), aff’g No. 00–cv–02392– J (SD Cal., Apr. 23, 2001); Mueller v. Allen, 676 F. 2d 1195 (CA8 1982), aff’g 514 F. Supp. 998 (Minn. 1981); Rhode Island Federation of Teachers, AFL–CIO v. Norberg, 630 F. 2d 855 (CA1 1980), aff’g 479 F. Supp. 1364 (RI 1979); Public Funds for Public Schools of N. J. v. Byrne, 590 F. 2d 514 (CA3 1979), aff’g 444 F. Supp. 1228 (NJ 1978); Freedom from Religion Foundation, Inc. v. Geithner, 715 F. Supp. 2d 1051 (ED Cal. 2010); Gillam v. Harding Univ., No. 4:08–CV–00363BSM, 2009 WL 1795303,*1 (ED Ark., June 24, 2009); Leverett v. United States Bur. of HHS, No. Civ. A. 99–S–1670, 2003 WL 21770810,*1 (D Colo., June 9, 2003); Luthens v. Bair, 788 F. Supp. 1032 (SD Iowa 1992); Minnesota Civ. Liberties Union v. Roemer, 452 F. Supp. 1316 (Minn. 1978); Kosydar v. Wolman, 353 F. Supp. 744 (SD Ohio 1972) (per curiam) (three-judge court); Committee for Public Ed. &amp; Religious Liberty v. Nyquist, 350 F. Supp. 655 (SDNY 1972) (three-judge court); United Ams. for Public Schools v. Franchise Tax Bd. of Cal., No. C–73–0090 (ND Cal., Feb. 1, 1974) (three-judge court), reprinted in App. to Juris. Statement in Franchise Tax Bd. of Cal. v. United Ams. for Public Schools, O. T. 1973, No. 73–1718, pp. 1–4.</w:t>
      </w:r>
    </w:p>
  </w:footnote>
  <w:footnote w:id="3">
    <w:p w:rsidR="00996E4F" w:rsidRDefault="00996E4F">
      <w:pPr>
        <w:pStyle w:val="FootnoteText"/>
      </w:pPr>
      <w:r>
        <w:rPr>
          <w:rStyle w:val="FootnoteReference"/>
        </w:rPr>
        <w:footnoteRef/>
      </w:r>
      <w:r>
        <w:t xml:space="preserve"> We have also several times summarily affirmed lower court decisions adjudicating taxpayer challenges to tax expenditures alleged to violate the Establishment Clause. See Byrne v. Public Funds for Public Schools of N. J., 442 U. S. 907 (1979), summarily aff’g 590 F. 2d 514, 516, n. 3 (CA3) (holding that “plaintiffs, as taxpayers, have standing under Flast” to challenge a tax deduction for dependents attending religious and other private schools); Grit v. Wolman, 413 U. S. 901 (1973), summarily aff’g Kosydar v. Wolman, 353 F. Supp. 744, 749 (SD Ohio 1972) (three-judge court) (noting that no party had questioned the standing of taxpayers to contest tax credits for private-school tuition payments); Franchise Tax Bd. of Cal. v. United Ams. for Public Schools, 419 U. S. 890 (1974), summarily aff’g No. C–73–0090 (ND Cal., Feb. 1, 1974) (three-judge court) (invalidating a tax credit for children attending private schools).</w:t>
      </w:r>
    </w:p>
  </w:footnote>
  <w:footnote w:id="4">
    <w:p w:rsidR="00996E4F" w:rsidRDefault="00996E4F">
      <w:pPr>
        <w:pStyle w:val="FootnoteText"/>
      </w:pPr>
      <w:r>
        <w:rPr>
          <w:rStyle w:val="FootnoteReference"/>
        </w:rPr>
        <w:footnoteRef/>
      </w:r>
      <w:r>
        <w:t xml:space="preserve"> See App. in Hibbs v. Winn, O. T. 2003, No. 02–1809, pp. 7–8 (complaint); Pet. for Cert. in Mueller v. Allen, O. T. 1982, No. 82–195, p. 7; App. in Committee for Public Ed. &amp; Religious Liberty v. Nyquist, O. T. 1972, No. 72–694, p. 9a (complaint); App. in Hunt v. McNair, O. T. 1972, No. 71–1523, p. 5 (complaint); App. in Walz v. Tax Comm’n of City of New York, O. T. 1969, No. 135, pp. 5–7 (complaint).</w:t>
      </w:r>
    </w:p>
  </w:footnote>
  <w:footnote w:id="5">
    <w:p w:rsidR="00996E4F" w:rsidRDefault="00996E4F">
      <w:pPr>
        <w:pStyle w:val="FootnoteText"/>
      </w:pPr>
      <w:r>
        <w:rPr>
          <w:rStyle w:val="FootnoteReference"/>
        </w:rPr>
        <w:footnoteRef/>
      </w:r>
      <w:r>
        <w:t xml:space="preserve"> See, e.g., Brief for United States as Amicus Curiae in Mueller v. Allen, supra, at 12, n. 15; Brief for United States as Amicus Curiae in Hibbs v. Winn, supra, at 3, n. 1; Brief for Honorable Trent Franks et al. as Amici Curiae in Hibbs v. Winn, supra, at 6, n. 2; Brief for United States Catholic Conference as Amicus Curiae in Walz v. Tax Comm’n of City of New York, supra, at 23–24.</w:t>
      </w:r>
    </w:p>
  </w:footnote>
  <w:footnote w:id="6">
    <w:p w:rsidR="00996E4F" w:rsidRDefault="00996E4F">
      <w:pPr>
        <w:pStyle w:val="FootnoteText"/>
      </w:pPr>
      <w:r>
        <w:rPr>
          <w:rStyle w:val="FootnoteReference"/>
        </w:rPr>
        <w:footnoteRef/>
      </w:r>
      <w:r>
        <w:t xml:space="preserve"> The majority observes that special tax benefits may in fact “increas[e] government revenues” by “spur[ring] economic activity.” Ante, at 8 (internal quotation marks omitted). That may be so in the long run (although the only non-speculative effect is to immediately diminish funds in the public treasury). But as the majority acknowledges, ibid., this possibility holds just as true for appropriations; that is why we (optimistically) refer to some government outlays as “investments.” The insight therefore cannot help the majority distinguish between tax expenditures and appropriations.</w:t>
      </w:r>
    </w:p>
  </w:footnote>
  <w:footnote w:id="7">
    <w:p w:rsidR="00996E4F" w:rsidRDefault="00996E4F">
      <w:pPr>
        <w:pStyle w:val="FootnoteText"/>
      </w:pPr>
      <w:r>
        <w:rPr>
          <w:rStyle w:val="FootnoteReference"/>
        </w:rPr>
        <w:footnoteRef/>
      </w:r>
      <w:r>
        <w:t xml:space="preserve"> The majority indicates that some persons could challenge these hypothetical government actions based on individualized injury, separate and apart from taxpayer status. See ante, at 1–2, 17–18. That is quite right; indeed, some parents or children likely have standing to challenge the Arizona tax credit on such grounds. But this possibility does not detract from the point made here. The purpose of these illustrations is to show that if taxpayer status is the thing alleged to confer standing, it should do so irrespective of the form of the government subsidy.</w:t>
      </w:r>
    </w:p>
  </w:footnote>
  <w:footnote w:id="8">
    <w:p w:rsidR="00996E4F" w:rsidRDefault="00996E4F">
      <w:pPr>
        <w:pStyle w:val="FootnoteText"/>
      </w:pPr>
      <w:r>
        <w:rPr>
          <w:rStyle w:val="FootnoteReference"/>
        </w:rPr>
        <w:footnoteRef/>
      </w:r>
      <w:r>
        <w:t xml:space="preserve"> See Arizona Dept. of Revenue, Revenue Impact of Arizona’s Tax Expenditures FY 2009/10, p. 48 (preliminary Nov. 15, 2010); FY 2008/09, p. 54 (preliminary Nov. 16, 2009); FY 2007/08, p. 58 (preliminary Nov. 17, 2008); FY 2006/07, p. 65 (preliminary Nov. 15, 2007/final Sept. 2010); FY 2005/06, p. 73 (preliminary Nov. 15, 2006/final Dec. 2009); FY 2004/05, p. 72 (preliminary Nov. 15, 2005/final June 2009); FY 2003/04, p. 74 (preliminary Nov. 14, 2004/final Feb. 2007); FY 2002/03, p. 74 (preliminary Nov. 15, 2003/final Mar. 2007); FY 2001/02, p. 71 (preliminary Nov. 15, 2002/final Mar. 2004); FY 2000/01, p. 73 (preliminary Nov. 15, 2001/final July 2003); FY 1999/00, p. 72 (preliminary Nov. 15, 2000/final Aug. 2002).</w:t>
      </w:r>
    </w:p>
  </w:footnote>
  <w:footnote w:id="9">
    <w:p w:rsidR="00996E4F" w:rsidRDefault="00996E4F">
      <w:pPr>
        <w:pStyle w:val="FootnoteText"/>
      </w:pPr>
      <w:r>
        <w:rPr>
          <w:rStyle w:val="FootnoteReference"/>
        </w:rPr>
        <w:footnoteRef/>
      </w:r>
      <w:r>
        <w:t xml:space="preserve"> Even taken on its own terms, the majority’s reasoning does not justify the conclusion that the Plaintiffs lack standing. Arizona’s tuition-tax-credit program in fact necessitates the direct expenditure of funds from the state treasury. After all, the statute establishing the initiative requires the Arizona Department of Revenue to certify STOs, maintain an STO registry, make the registry available to the public on request and post it on a website, collect annual reports filed by STOs, and send written notice to STOs that have failed to comply with statutory requirements. Ariz. Rev. Stat. Ann. §§43–1502(A)–(C), 43–1506 (West Supp. 2010). Presumably all these activities cost money, which comes from the state treasury. Thus, on the majority’s own theory, the government has “extract[ed] and spen[t]” the Plaintiffs’ (along with other taxpayers’) dollars to implement the challenged program, and the Plaintiffs should have standing. (The majority, after all, makes clear that nothing in its analysis hinges on the size or proportion of the Plaintiffs’ contribution. Ante, at 13.) But applying the majority’s theory in this way reveals the hollowness at its core. Can anyone believe that the Plaintiffs have suffered injury through the costs involved in administering the program, but not through the far greater costs of granting the tax expenditure in the first place?</w:t>
      </w:r>
    </w:p>
  </w:footnote>
  <w:footnote w:id="10">
    <w:p w:rsidR="00996E4F" w:rsidRDefault="00996E4F">
      <w:pPr>
        <w:pStyle w:val="FootnoteText"/>
      </w:pPr>
      <w:r>
        <w:rPr>
          <w:rStyle w:val="FootnoteReference"/>
        </w:rPr>
        <w:footnoteRef/>
      </w:r>
      <w:r>
        <w:t xml:space="preserve"> On this traditional view of the harm to taxpayers arising from state financing of religion, the Plaintiffs here can satisfy not only Article III’s injury requirement, but also its causation and redressability requirements. The majority’s contrary position, ante, at 15–16, stems from its miscasting of the injury involved; once that harm is stated correctly, all the rest follows. To wit: The Plaintiffs allege they suffer injury when the State funnels public resources to religious organizations through the tax credit. Arizona, they claim, has causedthis injury by enacting legislation that establishes the credit. And an injunction limiting the credit’s operation would redress the harm by preventing the allegedly unlawful diversion of tax revenues. The Plaintiffs need not, as the majority insists, show that this remedy would “affect … their tax payments,” ante, at 16, any more than the taxpayer in Flast had to establish that her tax burden would decrease absent the Government’s funding of religious schools. As we have previously recognized, when taxpayers object to the spending of tax money in violation of the Establishment Clause (whether through tax credits or appropriations), “an injunction against the spending would … redress [their] injury, regardless of whether lawmakers would dispose of the savings in a way that would benefit the taxpayer-plaintiffs personally.” DaimlerChrysler Corp. v. Cuno, 547 U. S. 332, 348–349 (2006).</w:t>
      </w:r>
    </w:p>
  </w:footnote>
  <w:footnote w:id="11">
    <w:p w:rsidR="00996E4F" w:rsidRDefault="00996E4F">
      <w:pPr>
        <w:pStyle w:val="FootnoteText"/>
      </w:pPr>
      <w:r>
        <w:rPr>
          <w:rStyle w:val="FootnoteReference"/>
        </w:rPr>
        <w:footnoteRef/>
      </w:r>
      <w:r>
        <w:t xml:space="preserve"> The opt-out provision described county schools as “seminaries of learning.” A Bill for Establishing A Provision for Teachers of the Christian Religion, reprinted in Everson v. Board of Ed. of Ewing, 330 U. S. 1, 74 (1947) (supplemental appendix to dissent of Rutledge, J.). In 1785, that phrase had no particular religious connotation: It “meant schools for general education, not schools for the training of ministers.” Berg &amp; Laycock, Mistakes in Locke v. Davey and the Future of State Payments for Services Provided by Religious Institutions, 40 Tulsa L. Rev. 227, 244, n. 113 (2004); see also, e.g., 2 S. Johnson, Dictionary of the English Language 1741 (1773) (“seminary” means “place of education, from whence scholars are transplanted into life”).</w:t>
      </w:r>
    </w:p>
  </w:footnote>
  <w:footnote w:id="12">
    <w:p w:rsidR="00996E4F" w:rsidRDefault="00996E4F">
      <w:pPr>
        <w:pStyle w:val="FootnoteText"/>
      </w:pPr>
      <w:r>
        <w:rPr>
          <w:rStyle w:val="FootnoteReference"/>
        </w:rPr>
        <w:footnoteRef/>
      </w:r>
      <w:r>
        <w:t xml:space="preserve"> The majority speculates that the Virginia General Assembly would have given some of the monies collected from conscientious objectors to schools with a sectarian bent. Ante, at 13. Because the Assessment never became law, no one can know which county schools would have received aid; indeed, the first of these schools did not open its doors until decades later. See W. Miller, First Liberty 26 (2003); see generally J. Buck, Development of Public Schools in Virginia 1607–1952 (1952). But historians and legal scholars have uniformly understood the opt-out provision as a considered attempt to accommodate taxpayers who did not want their tax dollars to go to religion. See Berg &amp; Laycock, supra, at 244, n. 113 (the “provision for payment to a school fund was not an effort to support religious schools as part of support for education overall,” but rather “was an effort to accommodate the possibility of non-Christian taxpayers”); T. Buckley, Church and State in Revolutionary Virginia, 1776–1787, p. 133 (1977) (under the “text of the proposed bill … nonbelievers would [not] be forced to contribute to religion” because “[t]he assessment had been carefully drafted to permit those who preferred to support education rather than religion to do so”); see also, e.g., Miller, supra, at 26; Underkuffler-Freund, Separation of the Religious and the Secular: A Foundational Challenge to First Amendment Theory, 36 Wm. &amp; Mary L. Rev. 837, 889–890, n. 265 (1995); Adams &amp; Emmerich, Heritage of Religious Liberty, 137 U. Pa. L. Rev. 1559, 1573 (1989); Laycock, “Nonpreferential” Aid to Religion: A False Claim About Original Intent, 27 Wm. &amp; Mary L. Rev. 875, 897, and n. 108 (1985–1986); L. Pfeffer, Church State and Freedom 110 (rev. ed. 1967).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3"/>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91"/>
    <w:rsid w:val="00032BE0"/>
    <w:rsid w:val="000E7FEB"/>
    <w:rsid w:val="00107D4C"/>
    <w:rsid w:val="00115752"/>
    <w:rsid w:val="00126FEB"/>
    <w:rsid w:val="002B1662"/>
    <w:rsid w:val="00395FAE"/>
    <w:rsid w:val="004C0614"/>
    <w:rsid w:val="00503EEC"/>
    <w:rsid w:val="005750C6"/>
    <w:rsid w:val="00593D73"/>
    <w:rsid w:val="005A3EAD"/>
    <w:rsid w:val="005C3C60"/>
    <w:rsid w:val="006A222D"/>
    <w:rsid w:val="006F415E"/>
    <w:rsid w:val="00720FFA"/>
    <w:rsid w:val="007754B9"/>
    <w:rsid w:val="00847E63"/>
    <w:rsid w:val="008C6F86"/>
    <w:rsid w:val="00955938"/>
    <w:rsid w:val="009677C7"/>
    <w:rsid w:val="00996E4F"/>
    <w:rsid w:val="00A01A54"/>
    <w:rsid w:val="00A75903"/>
    <w:rsid w:val="00AF1BCE"/>
    <w:rsid w:val="00B06276"/>
    <w:rsid w:val="00B07B01"/>
    <w:rsid w:val="00B17228"/>
    <w:rsid w:val="00B72991"/>
    <w:rsid w:val="00BD0FF7"/>
    <w:rsid w:val="00BE65BF"/>
    <w:rsid w:val="00CB22FC"/>
    <w:rsid w:val="00D01766"/>
    <w:rsid w:val="00D0353B"/>
    <w:rsid w:val="00D53DBD"/>
    <w:rsid w:val="00F41154"/>
    <w:rsid w:val="00F82EDF"/>
    <w:rsid w:val="00FA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0F4E4B10-C17B-4643-A0D9-AA3F127D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2991"/>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5425</Words>
  <Characters>30928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2018-09-28T18:17:00Z</dcterms:created>
  <dcterms:modified xsi:type="dcterms:W3CDTF">2018-09-28T18:17:00Z</dcterms:modified>
</cp:coreProperties>
</file>